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9CE8422" w:rsidR="008F06D8" w:rsidRDefault="00CC2EB7">
      <w:pPr>
        <w:pStyle w:val="Ttulo3"/>
        <w:keepNext w:val="0"/>
        <w:keepLines w:val="0"/>
        <w:spacing w:before="280"/>
        <w:jc w:val="center"/>
        <w:rPr>
          <w:b/>
          <w:bCs/>
          <w:color w:val="000000"/>
        </w:rPr>
      </w:pPr>
      <w:bookmarkStart w:id="0" w:name="_cvllbm388r3x" w:colFirst="0" w:colLast="0"/>
      <w:bookmarkEnd w:id="0"/>
      <w:r>
        <w:rPr>
          <w:b/>
          <w:bCs/>
          <w:color w:val="000000"/>
        </w:rPr>
        <w:t xml:space="preserve">Tratamento </w:t>
      </w:r>
      <w:r w:rsidR="00621A3E">
        <w:rPr>
          <w:b/>
          <w:bCs/>
          <w:color w:val="000000"/>
        </w:rPr>
        <w:t>para</w:t>
      </w:r>
      <w:r>
        <w:rPr>
          <w:b/>
          <w:bCs/>
          <w:color w:val="000000"/>
        </w:rPr>
        <w:t xml:space="preserve"> HIV com medicamento injetável de longa ação demonstra eficácia superior à terapia oral diária para pessoas com dificuldades de adesão, aponta estudo</w:t>
      </w:r>
    </w:p>
    <w:p w14:paraId="00000002" w14:textId="68947B41" w:rsidR="008F06D8" w:rsidRDefault="00CC2EB7">
      <w:pPr>
        <w:spacing w:before="240" w:after="240"/>
        <w:jc w:val="center"/>
        <w:rPr>
          <w:i/>
          <w:iCs/>
        </w:rPr>
      </w:pPr>
      <w:r>
        <w:rPr>
          <w:i/>
          <w:iCs/>
        </w:rPr>
        <w:t xml:space="preserve">Dados publicados no The New </w:t>
      </w:r>
      <w:proofErr w:type="spellStart"/>
      <w:r>
        <w:rPr>
          <w:i/>
          <w:iCs/>
        </w:rPr>
        <w:t>England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Medicine (NEJM) </w:t>
      </w:r>
      <w:r w:rsidR="001D3C4D">
        <w:rPr>
          <w:i/>
          <w:iCs/>
        </w:rPr>
        <w:t>de</w:t>
      </w:r>
      <w:r>
        <w:rPr>
          <w:i/>
          <w:iCs/>
        </w:rPr>
        <w:t>mo</w:t>
      </w:r>
      <w:r w:rsidR="001D3C4D">
        <w:rPr>
          <w:i/>
          <w:iCs/>
        </w:rPr>
        <w:t>n</w:t>
      </w:r>
      <w:r>
        <w:rPr>
          <w:i/>
          <w:iCs/>
        </w:rPr>
        <w:t xml:space="preserve">stram que a mudança para o tratamento injetável de longa ação reduziu o risco de falha </w:t>
      </w:r>
      <w:proofErr w:type="spellStart"/>
      <w:r>
        <w:rPr>
          <w:i/>
          <w:iCs/>
        </w:rPr>
        <w:t>virológica</w:t>
      </w:r>
      <w:proofErr w:type="spellEnd"/>
      <w:r>
        <w:rPr>
          <w:i/>
          <w:iCs/>
        </w:rPr>
        <w:t xml:space="preserve"> em quase metade </w:t>
      </w:r>
      <w:r w:rsidR="001D3C4D">
        <w:rPr>
          <w:i/>
          <w:iCs/>
        </w:rPr>
        <w:t>d</w:t>
      </w:r>
      <w:r>
        <w:rPr>
          <w:i/>
          <w:iCs/>
        </w:rPr>
        <w:t xml:space="preserve">os participantes </w:t>
      </w:r>
      <w:r w:rsidR="001D3C4D">
        <w:rPr>
          <w:i/>
          <w:iCs/>
        </w:rPr>
        <w:t xml:space="preserve">do estudo </w:t>
      </w:r>
      <w:r>
        <w:rPr>
          <w:i/>
          <w:iCs/>
        </w:rPr>
        <w:t xml:space="preserve">ao longo de 48 semanas, em comparação com </w:t>
      </w:r>
      <w:r w:rsidR="00621A3E">
        <w:rPr>
          <w:i/>
          <w:iCs/>
        </w:rPr>
        <w:t>aqueles que</w:t>
      </w:r>
      <w:r>
        <w:rPr>
          <w:i/>
          <w:iCs/>
        </w:rPr>
        <w:t xml:space="preserve"> continu</w:t>
      </w:r>
      <w:r w:rsidR="00621A3E">
        <w:rPr>
          <w:i/>
          <w:iCs/>
        </w:rPr>
        <w:t>aram em</w:t>
      </w:r>
      <w:r>
        <w:rPr>
          <w:i/>
          <w:iCs/>
        </w:rPr>
        <w:t xml:space="preserve"> terapia oral diária</w:t>
      </w:r>
    </w:p>
    <w:p w14:paraId="00000003" w14:textId="532D0406" w:rsidR="008F06D8" w:rsidRDefault="001D3C4D">
      <w:pPr>
        <w:spacing w:before="240" w:after="240"/>
        <w:jc w:val="both"/>
      </w:pPr>
      <w:r w:rsidRPr="001D3C4D">
        <w:rPr>
          <w:b/>
          <w:bCs/>
        </w:rPr>
        <w:t>Rio de Janeiro, março de 2026</w:t>
      </w:r>
      <w:r>
        <w:t xml:space="preserve"> - </w:t>
      </w:r>
      <w:r w:rsidR="00CC2EB7">
        <w:t xml:space="preserve">A ViiV Healthcare, líder em pesquisa e desenvolvimento de prevenção e tratamentos para o HIV, </w:t>
      </w:r>
      <w:r w:rsidR="00621A3E">
        <w:t xml:space="preserve">representada pela GSK no Brasil, </w:t>
      </w:r>
      <w:r w:rsidR="00CC2EB7">
        <w:t>anunci</w:t>
      </w:r>
      <w:r w:rsidR="00621A3E">
        <w:t>ou</w:t>
      </w:r>
      <w:r w:rsidR="00CC2EB7">
        <w:t xml:space="preserve"> dados finais do </w:t>
      </w:r>
      <w:r w:rsidR="00CC2EB7">
        <w:rPr>
          <w:b/>
          <w:bCs/>
        </w:rPr>
        <w:t>estudo de Fase III LATITUDE</w:t>
      </w:r>
      <w:r w:rsidR="00CC2EB7">
        <w:t xml:space="preserve">, que revelaram que o tratamento injetável de </w:t>
      </w:r>
      <w:r w:rsidR="00621A3E">
        <w:t xml:space="preserve">longa </w:t>
      </w:r>
      <w:r w:rsidR="00CC2EB7">
        <w:t>ação (</w:t>
      </w:r>
      <w:proofErr w:type="spellStart"/>
      <w:r w:rsidR="00CC2EB7">
        <w:t>cabotegravir</w:t>
      </w:r>
      <w:proofErr w:type="spellEnd"/>
      <w:r w:rsidR="00CC2EB7">
        <w:t xml:space="preserve"> + </w:t>
      </w:r>
      <w:proofErr w:type="spellStart"/>
      <w:r w:rsidR="00CC2EB7">
        <w:t>rilpivirina</w:t>
      </w:r>
      <w:proofErr w:type="spellEnd"/>
      <w:r w:rsidR="00CC2EB7">
        <w:t xml:space="preserve">) demonstrou eficácia superior na manutenção da supressão da carga viral em comparação </w:t>
      </w:r>
      <w:r w:rsidR="00D40045">
        <w:t>com a</w:t>
      </w:r>
      <w:r w:rsidR="00CC2EB7">
        <w:t xml:space="preserve"> terapia oral diária em indivíduos com histórico de dificuldades de adesão ao tratamento antirretroviral (TARV).¹ Os dados de 48 semanas foram publicados no The New </w:t>
      </w:r>
      <w:proofErr w:type="spellStart"/>
      <w:r w:rsidR="00CC2EB7">
        <w:t>England</w:t>
      </w:r>
      <w:proofErr w:type="spellEnd"/>
      <w:r w:rsidR="00CC2EB7">
        <w:t xml:space="preserve"> </w:t>
      </w:r>
      <w:proofErr w:type="spellStart"/>
      <w:r w:rsidR="00CC2EB7">
        <w:t>Journal</w:t>
      </w:r>
      <w:proofErr w:type="spellEnd"/>
      <w:r w:rsidR="00CC2EB7">
        <w:t xml:space="preserve"> </w:t>
      </w:r>
      <w:proofErr w:type="spellStart"/>
      <w:r w:rsidR="00CC2EB7">
        <w:t>of</w:t>
      </w:r>
      <w:proofErr w:type="spellEnd"/>
      <w:r w:rsidR="00CC2EB7">
        <w:t xml:space="preserve"> Medicine (NEJM)</w:t>
      </w:r>
      <w:r w:rsidR="00291FED">
        <w:t>¹</w:t>
      </w:r>
      <w:r w:rsidR="00CC2EB7">
        <w:t>, um dos periódicos científicos mais prestigiados do mundo.</w:t>
      </w:r>
    </w:p>
    <w:p w14:paraId="00000004" w14:textId="3CDF5782" w:rsidR="008F06D8" w:rsidRDefault="3BE96351">
      <w:pPr>
        <w:spacing w:before="240" w:after="240"/>
        <w:jc w:val="both"/>
      </w:pPr>
      <w:r>
        <w:t xml:space="preserve">Os resultados mostram que a mudança para o </w:t>
      </w:r>
      <w:r w:rsidRPr="7EC91366">
        <w:rPr>
          <w:b/>
          <w:bCs/>
        </w:rPr>
        <w:t xml:space="preserve">medicamento injetável de longa ação aplicado a cada </w:t>
      </w:r>
      <w:r w:rsidR="009E5967">
        <w:rPr>
          <w:b/>
          <w:bCs/>
        </w:rPr>
        <w:t>quatro semanas</w:t>
      </w:r>
      <w:r w:rsidRPr="7EC91366">
        <w:rPr>
          <w:b/>
          <w:bCs/>
        </w:rPr>
        <w:t xml:space="preserve"> reduziu quase pela metade o risco de falha </w:t>
      </w:r>
      <w:proofErr w:type="spellStart"/>
      <w:r w:rsidRPr="7EC91366">
        <w:rPr>
          <w:b/>
          <w:bCs/>
        </w:rPr>
        <w:t>virológica</w:t>
      </w:r>
      <w:proofErr w:type="spellEnd"/>
      <w:r w:rsidRPr="7EC91366">
        <w:rPr>
          <w:b/>
          <w:bCs/>
        </w:rPr>
        <w:t xml:space="preserve"> em comparação com a continuidade da terapia oral diária</w:t>
      </w:r>
      <w:r w:rsidR="00183D6D" w:rsidRPr="00183D6D">
        <w:t>¹</w:t>
      </w:r>
      <w:r w:rsidRPr="00183D6D">
        <w:t>.</w:t>
      </w:r>
      <w:r w:rsidR="008C0D20">
        <w:rPr>
          <w:b/>
          <w:bCs/>
        </w:rPr>
        <w:t xml:space="preserve"> </w:t>
      </w:r>
      <w:r w:rsidR="008C0D20" w:rsidRPr="008C0D20">
        <w:t>Em fevereiro de 2024, um Comitê Independente de Monitoramento de Dados e Segurança recomendou a interrupção da randomização do estudo com base em dados provisórios de eficácia, confirmando a superioridade do regime injetável de longa ação em desfechos-chave</w:t>
      </w:r>
      <w:r w:rsidR="00183D6D">
        <w:t>¹</w:t>
      </w:r>
      <w:r w:rsidR="00D87B3A">
        <w:t>.</w:t>
      </w:r>
    </w:p>
    <w:p w14:paraId="00000005" w14:textId="7EEE55E3" w:rsidR="008F06D8" w:rsidRDefault="00CC2EB7">
      <w:pPr>
        <w:spacing w:before="240" w:after="240"/>
        <w:jc w:val="both"/>
        <w:rPr>
          <w:highlight w:val="yellow"/>
        </w:rPr>
      </w:pPr>
      <w:r w:rsidRPr="00860E9F">
        <w:rPr>
          <w:i/>
          <w:iCs/>
        </w:rPr>
        <w:t>"</w:t>
      </w:r>
      <w:r w:rsidR="00D40045" w:rsidRPr="00860E9F">
        <w:rPr>
          <w:i/>
          <w:iCs/>
        </w:rPr>
        <w:t>O estudo apresentou</w:t>
      </w:r>
      <w:r w:rsidRPr="00860E9F">
        <w:rPr>
          <w:i/>
          <w:iCs/>
        </w:rPr>
        <w:t xml:space="preserve"> </w:t>
      </w:r>
      <w:r w:rsidR="31138086" w:rsidRPr="00860E9F">
        <w:rPr>
          <w:i/>
          <w:iCs/>
        </w:rPr>
        <w:t>evidência robusta</w:t>
      </w:r>
      <w:r w:rsidRPr="00860E9F">
        <w:rPr>
          <w:i/>
          <w:iCs/>
        </w:rPr>
        <w:t xml:space="preserve"> que consolida o papel do tratamento injetável de </w:t>
      </w:r>
      <w:r w:rsidR="00D40045" w:rsidRPr="00860E9F">
        <w:rPr>
          <w:i/>
          <w:iCs/>
        </w:rPr>
        <w:t xml:space="preserve">longa </w:t>
      </w:r>
      <w:r w:rsidRPr="00860E9F">
        <w:rPr>
          <w:i/>
          <w:iCs/>
        </w:rPr>
        <w:t>ação como uma opção terapêutica importante</w:t>
      </w:r>
      <w:r w:rsidR="00D40045" w:rsidRPr="00860E9F">
        <w:rPr>
          <w:i/>
          <w:iCs/>
        </w:rPr>
        <w:t xml:space="preserve"> para pessoas que vivem com HIV</w:t>
      </w:r>
      <w:r w:rsidRPr="00860E9F">
        <w:rPr>
          <w:i/>
          <w:iCs/>
        </w:rPr>
        <w:t>. É o primeiro estudo randomizado a confirmar que esta abordagem é superior à terapia oral diária para pessoas que enfrentam desafios de adesão. Os dados validam a eficácia d</w:t>
      </w:r>
      <w:r w:rsidR="00D40045" w:rsidRPr="00860E9F">
        <w:rPr>
          <w:i/>
          <w:iCs/>
        </w:rPr>
        <w:t xml:space="preserve">os injetáveis de </w:t>
      </w:r>
      <w:r w:rsidRPr="00860E9F">
        <w:rPr>
          <w:i/>
          <w:iCs/>
        </w:rPr>
        <w:t xml:space="preserve">longa ação para este perfil de paciente e representam um passo fundamental no nosso compromisso de </w:t>
      </w:r>
      <w:r w:rsidR="5439D4EF" w:rsidRPr="00860E9F">
        <w:rPr>
          <w:i/>
          <w:iCs/>
        </w:rPr>
        <w:t>aprimor</w:t>
      </w:r>
      <w:r w:rsidRPr="00860E9F">
        <w:rPr>
          <w:i/>
          <w:iCs/>
        </w:rPr>
        <w:t>ar o cuidado e contribuir para o fim da epidemia de HIV/Aids”</w:t>
      </w:r>
      <w:r>
        <w:t xml:space="preserve">, afirma </w:t>
      </w:r>
      <w:r w:rsidR="00D40045">
        <w:t>Dr. Rodrigo Zilli</w:t>
      </w:r>
      <w:r w:rsidR="00091D07">
        <w:t xml:space="preserve"> (</w:t>
      </w:r>
      <w:r w:rsidR="00091D07" w:rsidRPr="00091D07">
        <w:t>CRM-RJ 66738-2</w:t>
      </w:r>
      <w:r w:rsidR="00091D07">
        <w:t>)</w:t>
      </w:r>
      <w:r>
        <w:t xml:space="preserve">, </w:t>
      </w:r>
      <w:r w:rsidR="00D40045">
        <w:t xml:space="preserve">diretor médico de Vacinas e HIV </w:t>
      </w:r>
      <w:r>
        <w:t>da GSK</w:t>
      </w:r>
      <w:r w:rsidR="00D40045">
        <w:t xml:space="preserve"> Brasil</w:t>
      </w:r>
      <w:r>
        <w:t xml:space="preserve">. </w:t>
      </w:r>
    </w:p>
    <w:p w14:paraId="00000006" w14:textId="1ECD2D76" w:rsidR="008F06D8" w:rsidRDefault="00CC2EB7">
      <w:pPr>
        <w:spacing w:before="240" w:after="240"/>
        <w:jc w:val="both"/>
        <w:rPr>
          <w:b/>
          <w:bCs/>
        </w:rPr>
      </w:pPr>
      <w:r>
        <w:rPr>
          <w:b/>
          <w:bCs/>
        </w:rPr>
        <w:t>Principais resultados</w:t>
      </w:r>
    </w:p>
    <w:p w14:paraId="0B25C3CE" w14:textId="28CA0CE5" w:rsidR="0015405A" w:rsidRDefault="0015405A" w:rsidP="0015405A">
      <w:pPr>
        <w:spacing w:before="240" w:after="240"/>
        <w:jc w:val="both"/>
      </w:pPr>
      <w:r>
        <w:t xml:space="preserve">O endpoint primário do estudo foi a falha do </w:t>
      </w:r>
      <w:r w:rsidR="34E541B5">
        <w:t>tratamento</w:t>
      </w:r>
      <w:r>
        <w:t>, definida como a ocorrência mais precoce de falha virológica confirmada (duas cargas virais consecutivas &gt;200 cópias/mL após a randomização) ou descontinuação permanente do tratamento designado</w:t>
      </w:r>
      <w:r w:rsidR="00183D6D">
        <w:t>¹</w:t>
      </w:r>
      <w:r>
        <w:t xml:space="preserve">. Em 48 semanas, a falha do </w:t>
      </w:r>
      <w:r w:rsidR="6E93FBC0">
        <w:t>tratamento</w:t>
      </w:r>
      <w:r>
        <w:t xml:space="preserve"> ocorreu em 22,8% no braço de cabotegravir + rilpivirina (mensal) versus 41,2% no braço de terapia oral diária, confirmando a superioridade da terapia injetável</w:t>
      </w:r>
      <w:r w:rsidR="00183D6D">
        <w:t>¹</w:t>
      </w:r>
      <w:r w:rsidR="002F3812">
        <w:t>.</w:t>
      </w:r>
    </w:p>
    <w:p w14:paraId="42D5712E" w14:textId="3247E7C4" w:rsidR="0015405A" w:rsidRDefault="00BD36BF" w:rsidP="0015405A">
      <w:pPr>
        <w:spacing w:before="240" w:after="240"/>
        <w:jc w:val="both"/>
      </w:pPr>
      <w:r>
        <w:t>Em relação ao</w:t>
      </w:r>
      <w:r w:rsidR="008446A5">
        <w:t xml:space="preserve"> desfecho primário</w:t>
      </w:r>
      <w:r w:rsidR="0015405A">
        <w:t xml:space="preserve"> no braço injetável</w:t>
      </w:r>
      <w:r w:rsidR="00864877">
        <w:t>,</w:t>
      </w:r>
      <w:r w:rsidR="0015405A">
        <w:t xml:space="preserve"> 3% dos participantes apresentaram falha </w:t>
      </w:r>
      <w:proofErr w:type="spellStart"/>
      <w:r w:rsidR="0015405A">
        <w:t>virológica</w:t>
      </w:r>
      <w:proofErr w:type="spellEnd"/>
      <w:r w:rsidR="0015405A">
        <w:t xml:space="preserve"> como primeiro evento e 16% descontinuaram o tratamento; já no braço oral, os percentuais foram 21% e 15%, respectivamente</w:t>
      </w:r>
      <w:r w:rsidR="00183D6D">
        <w:t>¹</w:t>
      </w:r>
      <w:r w:rsidR="00864877">
        <w:t>.</w:t>
      </w:r>
    </w:p>
    <w:p w14:paraId="172090D0" w14:textId="00D7B0E3" w:rsidR="0015405A" w:rsidRDefault="00EB5C62">
      <w:pPr>
        <w:spacing w:before="240" w:after="240"/>
        <w:jc w:val="both"/>
      </w:pPr>
      <w:r>
        <w:t xml:space="preserve">Já </w:t>
      </w:r>
      <w:r w:rsidR="00732DC0">
        <w:t>no que se refere</w:t>
      </w:r>
      <w:r w:rsidR="0015405A">
        <w:t xml:space="preserve"> </w:t>
      </w:r>
      <w:r w:rsidR="00732DC0">
        <w:t>à</w:t>
      </w:r>
      <w:r w:rsidR="0015405A">
        <w:t xml:space="preserve"> segurança</w:t>
      </w:r>
      <w:r w:rsidR="00864877">
        <w:t>,</w:t>
      </w:r>
      <w:r w:rsidR="0015405A">
        <w:t xml:space="preserve"> a incidência cumulativa de qualquer evento adverso foi semelhante entre os grupos (43,5% no injetável </w:t>
      </w:r>
      <w:proofErr w:type="spellStart"/>
      <w:r w:rsidR="0015405A">
        <w:t>vs</w:t>
      </w:r>
      <w:proofErr w:type="spellEnd"/>
      <w:r w:rsidR="0015405A">
        <w:t xml:space="preserve"> 42,4% no oral, em 48 semanas)</w:t>
      </w:r>
      <w:r w:rsidR="00183D6D">
        <w:t>¹</w:t>
      </w:r>
      <w:r w:rsidR="0015405A">
        <w:t xml:space="preserve">. Reações </w:t>
      </w:r>
      <w:r w:rsidR="0015405A">
        <w:lastRenderedPageBreak/>
        <w:t>no local de injeção foram frequentes entre os que receberam injeções, entretanto houve apenas duas descontinuações atribuídas a esse evento</w:t>
      </w:r>
      <w:r w:rsidR="00183D6D">
        <w:t>¹</w:t>
      </w:r>
      <w:r w:rsidR="00864877">
        <w:t>.</w:t>
      </w:r>
    </w:p>
    <w:p w14:paraId="00000009" w14:textId="484680D1" w:rsidR="008F06D8" w:rsidRDefault="008C0D20">
      <w:pPr>
        <w:spacing w:before="240" w:after="240"/>
        <w:jc w:val="both"/>
        <w:rPr>
          <w:highlight w:val="yellow"/>
        </w:rPr>
      </w:pPr>
      <w:r w:rsidRPr="00860E9F">
        <w:rPr>
          <w:i/>
          <w:iCs/>
        </w:rPr>
        <w:t>“Para muitos, a tomada diária de comprimidos é um lembrete constante da doença e uma barreira adicional ligada a estigma e desafios psicossociais. Ter um tratamento injetável, que reduz substancialmente o risco de falha do regime, oferece dignidade e uma chance real de manter a carga viral indetectável para quem mais precisa",</w:t>
      </w:r>
      <w:r w:rsidR="00694FE0">
        <w:t xml:space="preserve"> </w:t>
      </w:r>
      <w:r w:rsidR="7E2C9069">
        <w:t>comenta Ricardo Diaz</w:t>
      </w:r>
      <w:r w:rsidR="00924740">
        <w:t xml:space="preserve"> (</w:t>
      </w:r>
      <w:r w:rsidR="00924740" w:rsidRPr="00924740">
        <w:t>CRM SP 57803)</w:t>
      </w:r>
      <w:r w:rsidR="7E2C9069">
        <w:t>,</w:t>
      </w:r>
      <w:r w:rsidR="404941CC">
        <w:t xml:space="preserve"> </w:t>
      </w:r>
      <w:r w:rsidR="404941CC" w:rsidRPr="00B41F4D">
        <w:t>infectologista, pesquisador da Escola de Medicina da Unifesp</w:t>
      </w:r>
      <w:r w:rsidR="3BE96351" w:rsidRPr="00B41F4D">
        <w:t xml:space="preserve"> </w:t>
      </w:r>
      <w:r w:rsidR="404941CC" w:rsidRPr="00B41F4D">
        <w:t xml:space="preserve">e presidente da Sociedade Brasileira de Infectologia (SBI). </w:t>
      </w:r>
    </w:p>
    <w:p w14:paraId="0000000A" w14:textId="3B32CAD8" w:rsidR="008F06D8" w:rsidRDefault="00CC2EB7">
      <w:pPr>
        <w:spacing w:before="240" w:after="240"/>
        <w:jc w:val="both"/>
        <w:rPr>
          <w:b/>
          <w:bCs/>
        </w:rPr>
      </w:pPr>
      <w:r>
        <w:rPr>
          <w:b/>
          <w:bCs/>
        </w:rPr>
        <w:t>Sobre o estudo</w:t>
      </w:r>
    </w:p>
    <w:p w14:paraId="0000000B" w14:textId="7C1D564C" w:rsidR="008F06D8" w:rsidRDefault="3BE96351">
      <w:pPr>
        <w:spacing w:before="240" w:after="240"/>
        <w:jc w:val="both"/>
      </w:pPr>
      <w:r>
        <w:t>O LATITUDE (</w:t>
      </w:r>
      <w:proofErr w:type="spellStart"/>
      <w:r>
        <w:t>Long-Acting</w:t>
      </w:r>
      <w:proofErr w:type="spellEnd"/>
      <w:r>
        <w:t xml:space="preserve"> </w:t>
      </w:r>
      <w:proofErr w:type="spellStart"/>
      <w:r>
        <w:t>Therapy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Improve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in Daily Life) foi um ensaio clínico randomizado e aberto de fase III, que recrutou 453 participantes que enfrenta</w:t>
      </w:r>
      <w:r w:rsidR="00E254B7">
        <w:t>va</w:t>
      </w:r>
      <w:r>
        <w:t>m dificuldades para tomar TARV oral diária ou que abandonaram o tratamento para HIV</w:t>
      </w:r>
      <w:r w:rsidR="00183D6D">
        <w:t>¹</w:t>
      </w:r>
      <w:r>
        <w:t xml:space="preserve">. A </w:t>
      </w:r>
      <w:r w:rsidR="008C0D20">
        <w:t>mediana</w:t>
      </w:r>
      <w:r>
        <w:t xml:space="preserve"> de idade foi de 40 anos; 63% eram negros/afro-americanos, 29% eram mulheres, 17% eram hispânicos e 14% relataram uso atual ou prévio de drogas injetáveis</w:t>
      </w:r>
      <w:r w:rsidR="00183D6D">
        <w:t>¹</w:t>
      </w:r>
      <w:r>
        <w:t xml:space="preserve">. A pesquisa avaliou se a mudança para </w:t>
      </w:r>
      <w:proofErr w:type="spellStart"/>
      <w:r w:rsidRPr="7EC91366">
        <w:rPr>
          <w:b/>
          <w:bCs/>
        </w:rPr>
        <w:t>cabotegravir</w:t>
      </w:r>
      <w:proofErr w:type="spellEnd"/>
      <w:r w:rsidRPr="7EC91366">
        <w:rPr>
          <w:b/>
          <w:bCs/>
        </w:rPr>
        <w:t xml:space="preserve"> + </w:t>
      </w:r>
      <w:proofErr w:type="spellStart"/>
      <w:r w:rsidRPr="7EC91366">
        <w:rPr>
          <w:b/>
          <w:bCs/>
        </w:rPr>
        <w:t>rilpivirina</w:t>
      </w:r>
      <w:proofErr w:type="spellEnd"/>
      <w:r w:rsidR="00EB0341">
        <w:rPr>
          <w:b/>
          <w:bCs/>
        </w:rPr>
        <w:t>, injetáveis</w:t>
      </w:r>
      <w:r w:rsidRPr="7EC91366">
        <w:rPr>
          <w:b/>
          <w:bCs/>
        </w:rPr>
        <w:t xml:space="preserve"> de longa ação</w:t>
      </w:r>
      <w:r w:rsidR="00EB0341">
        <w:rPr>
          <w:b/>
          <w:bCs/>
        </w:rPr>
        <w:t>,</w:t>
      </w:r>
      <w:r w:rsidRPr="7EC91366">
        <w:rPr>
          <w:b/>
          <w:bCs/>
        </w:rPr>
        <w:t xml:space="preserve"> administrados a cada quatro semanas</w:t>
      </w:r>
      <w:r>
        <w:t xml:space="preserve"> poderia reduzir o risco de falha terapêutica em comparação com a continuidade da TARV oral diária</w:t>
      </w:r>
      <w:r w:rsidR="00183D6D">
        <w:t>¹</w:t>
      </w:r>
      <w:r>
        <w:t xml:space="preserve">. </w:t>
      </w:r>
    </w:p>
    <w:p w14:paraId="78188559" w14:textId="387051A5" w:rsidR="00CA54B0" w:rsidRDefault="00CA54B0" w:rsidP="00A83AD1">
      <w:r w:rsidRPr="00CA54B0">
        <w:t>Após o recrutamento, os participantes receberam apoio à adesão, incluindo incentivos econômicos condicionais para alcançar a supressão viral enquanto utilizavam TARV oral diária, conforme as diretrizes</w:t>
      </w:r>
      <w:r w:rsidR="00183D6D">
        <w:t>¹</w:t>
      </w:r>
      <w:r w:rsidRPr="00CA54B0">
        <w:t>. Aqueles que atingiram HIV</w:t>
      </w:r>
      <w:r w:rsidRPr="00CA54B0">
        <w:rPr>
          <w:rFonts w:ascii="Cambria Math" w:hAnsi="Cambria Math" w:cs="Cambria Math"/>
        </w:rPr>
        <w:t>‑</w:t>
      </w:r>
      <w:r w:rsidRPr="00CA54B0">
        <w:t>1 RNA ≤200 cópias/</w:t>
      </w:r>
      <w:proofErr w:type="spellStart"/>
      <w:r w:rsidRPr="00CA54B0">
        <w:t>mL</w:t>
      </w:r>
      <w:proofErr w:type="spellEnd"/>
      <w:r w:rsidRPr="00CA54B0">
        <w:t xml:space="preserve"> foram </w:t>
      </w:r>
      <w:proofErr w:type="gramStart"/>
      <w:r w:rsidRPr="00CA54B0">
        <w:t>randomizados</w:t>
      </w:r>
      <w:proofErr w:type="gramEnd"/>
      <w:r w:rsidRPr="00CA54B0">
        <w:t xml:space="preserve"> (n=306) para receber </w:t>
      </w:r>
      <w:proofErr w:type="spellStart"/>
      <w:r w:rsidRPr="00CA54B0">
        <w:t>cabotegravir</w:t>
      </w:r>
      <w:proofErr w:type="spellEnd"/>
      <w:r w:rsidRPr="00CA54B0">
        <w:t xml:space="preserve"> + </w:t>
      </w:r>
      <w:proofErr w:type="spellStart"/>
      <w:r w:rsidRPr="00CA54B0">
        <w:t>rilpivirina</w:t>
      </w:r>
      <w:proofErr w:type="spellEnd"/>
      <w:r w:rsidR="00EB0341">
        <w:t>,</w:t>
      </w:r>
      <w:r w:rsidRPr="00CA54B0">
        <w:t xml:space="preserve"> injetáveis de longa ação, administrados mensalmente (a cada quatro semanas) (n=152) ou continuar com TARV oral diária (n=154</w:t>
      </w:r>
      <w:proofErr w:type="gramStart"/>
      <w:r w:rsidRPr="00CA54B0">
        <w:t>)</w:t>
      </w:r>
      <w:r w:rsidR="00183D6D">
        <w:t>.</w:t>
      </w:r>
      <w:r w:rsidR="00B11E79">
        <w:t>¹</w:t>
      </w:r>
      <w:proofErr w:type="gramEnd"/>
    </w:p>
    <w:p w14:paraId="451117C4" w14:textId="78D4365D" w:rsidR="00183D6D" w:rsidRPr="00E94216" w:rsidRDefault="3BE96351" w:rsidP="00E94216">
      <w:pPr>
        <w:spacing w:before="240" w:after="240"/>
        <w:rPr>
          <w:b/>
          <w:bCs/>
          <w:i/>
          <w:iCs/>
        </w:rPr>
      </w:pPr>
      <w:r w:rsidRPr="7EC91366">
        <w:rPr>
          <w:b/>
          <w:bCs/>
          <w:i/>
          <w:iCs/>
        </w:rPr>
        <w:t>Referência</w:t>
      </w:r>
      <w:r w:rsidR="00CC2EB7">
        <w:br/>
      </w:r>
      <w:r w:rsidRPr="7EC91366">
        <w:rPr>
          <w:sz w:val="20"/>
          <w:szCs w:val="20"/>
        </w:rPr>
        <w:t xml:space="preserve">1. </w:t>
      </w:r>
      <w:proofErr w:type="spellStart"/>
      <w:r w:rsidRPr="7EC91366">
        <w:rPr>
          <w:sz w:val="20"/>
          <w:szCs w:val="20"/>
        </w:rPr>
        <w:t>Rana</w:t>
      </w:r>
      <w:proofErr w:type="spellEnd"/>
      <w:r w:rsidRPr="7EC91366">
        <w:rPr>
          <w:sz w:val="20"/>
          <w:szCs w:val="20"/>
        </w:rPr>
        <w:t xml:space="preserve"> A., et al. </w:t>
      </w:r>
      <w:proofErr w:type="spellStart"/>
      <w:r w:rsidRPr="7EC91366">
        <w:rPr>
          <w:sz w:val="20"/>
          <w:szCs w:val="20"/>
        </w:rPr>
        <w:t>Cabotegravir</w:t>
      </w:r>
      <w:proofErr w:type="spellEnd"/>
      <w:r w:rsidRPr="7EC91366">
        <w:rPr>
          <w:sz w:val="20"/>
          <w:szCs w:val="20"/>
        </w:rPr>
        <w:t xml:space="preserve"> mais </w:t>
      </w:r>
      <w:proofErr w:type="spellStart"/>
      <w:r w:rsidRPr="7EC91366">
        <w:rPr>
          <w:sz w:val="20"/>
          <w:szCs w:val="20"/>
        </w:rPr>
        <w:t>rilpivirina</w:t>
      </w:r>
      <w:proofErr w:type="spellEnd"/>
      <w:r w:rsidRPr="7EC91366">
        <w:rPr>
          <w:sz w:val="20"/>
          <w:szCs w:val="20"/>
        </w:rPr>
        <w:t xml:space="preserve"> para pessoas com HIV e desafios de adesão. </w:t>
      </w:r>
      <w:r w:rsidRPr="00291FED">
        <w:rPr>
          <w:sz w:val="20"/>
          <w:szCs w:val="20"/>
        </w:rPr>
        <w:t xml:space="preserve">N </w:t>
      </w:r>
      <w:proofErr w:type="spellStart"/>
      <w:r w:rsidRPr="00291FED">
        <w:rPr>
          <w:sz w:val="20"/>
          <w:szCs w:val="20"/>
        </w:rPr>
        <w:t>Engl</w:t>
      </w:r>
      <w:proofErr w:type="spellEnd"/>
      <w:r w:rsidRPr="00291FED">
        <w:rPr>
          <w:sz w:val="20"/>
          <w:szCs w:val="20"/>
        </w:rPr>
        <w:t xml:space="preserve"> J Med. 2026.</w:t>
      </w:r>
      <w:r w:rsidR="00291FED">
        <w:rPr>
          <w:sz w:val="20"/>
          <w:szCs w:val="20"/>
        </w:rPr>
        <w:t xml:space="preserve"> </w:t>
      </w:r>
      <w:r w:rsidR="00E94216" w:rsidRPr="00E94216">
        <w:rPr>
          <w:sz w:val="20"/>
          <w:szCs w:val="20"/>
        </w:rPr>
        <w:t>Disponível em:</w:t>
      </w:r>
      <w:r w:rsidR="00E94216">
        <w:rPr>
          <w:sz w:val="20"/>
          <w:szCs w:val="20"/>
        </w:rPr>
        <w:t xml:space="preserve"> </w:t>
      </w:r>
      <w:hyperlink r:id="rId4" w:history="1">
        <w:r w:rsidR="00E94216" w:rsidRPr="00867FB0">
          <w:rPr>
            <w:rStyle w:val="Hyperlink"/>
            <w:sz w:val="20"/>
            <w:szCs w:val="20"/>
          </w:rPr>
          <w:t>https://www.nejm.org/doi/full/10.1056/NEJMoa2508228?query=featured_home</w:t>
        </w:r>
      </w:hyperlink>
      <w:r w:rsidR="00E94216">
        <w:rPr>
          <w:sz w:val="20"/>
          <w:szCs w:val="20"/>
        </w:rPr>
        <w:t xml:space="preserve">. Acesso em março de 2026. </w:t>
      </w:r>
    </w:p>
    <w:p w14:paraId="5A77B210" w14:textId="77777777" w:rsidR="0065657A" w:rsidRPr="00E94216" w:rsidRDefault="0065657A">
      <w:pPr>
        <w:rPr>
          <w:b/>
          <w:bCs/>
        </w:rPr>
      </w:pPr>
    </w:p>
    <w:p w14:paraId="00000011" w14:textId="0C23F4EC" w:rsidR="008F06D8" w:rsidRPr="0065657A" w:rsidRDefault="00CC2EB7">
      <w:pPr>
        <w:rPr>
          <w:b/>
          <w:bCs/>
        </w:rPr>
      </w:pPr>
      <w:r w:rsidRPr="0065657A">
        <w:rPr>
          <w:b/>
          <w:bCs/>
        </w:rPr>
        <w:t>Sobre a GSK/ViiV Healthcare</w:t>
      </w:r>
    </w:p>
    <w:p w14:paraId="00000013" w14:textId="77777777" w:rsidR="008F06D8" w:rsidRDefault="00CC2EB7">
      <w:r>
        <w:t xml:space="preserve">A ViiV Healthcare foi criada em 2009, a partir de uma joint venture entre a GSK e a Pfizer, formando uma companhia global dedicada exclusivamente a tratamentos para o HIV. Em 2012, a japonesa </w:t>
      </w:r>
      <w:proofErr w:type="spellStart"/>
      <w:r>
        <w:t>Shionogi</w:t>
      </w:r>
      <w:proofErr w:type="spellEnd"/>
      <w:r>
        <w:t xml:space="preserve"> completou a sociedade. Atualmente, a GSK detém 76,5% de participação na empresa. Como líder em pesquisa e desenvolvimento de tratamentos para o HIV, a ViiV Healthcare possui operações em mais de 50 países. A GSK é o distribuidor da ViiV Healthcare no Brasil.</w:t>
      </w:r>
    </w:p>
    <w:p w14:paraId="00000014" w14:textId="77777777" w:rsidR="008F06D8" w:rsidRDefault="008F06D8"/>
    <w:p w14:paraId="00000015" w14:textId="3CF6EFB9" w:rsidR="008F06D8" w:rsidRPr="00952ECF" w:rsidRDefault="00CC2EB7">
      <w:r w:rsidRPr="00952ECF">
        <w:t>Material dirigido ao público em geral. Por favor, consulte o seu médico</w:t>
      </w:r>
      <w:r w:rsidR="0065657A" w:rsidRPr="00952ECF">
        <w:t>.</w:t>
      </w:r>
    </w:p>
    <w:p w14:paraId="00000017" w14:textId="2DFE004B" w:rsidR="008F06D8" w:rsidRDefault="00952ECF">
      <w:r w:rsidRPr="00952ECF">
        <w:t>NP-BR-HVU-PRSR-260004</w:t>
      </w:r>
      <w:r>
        <w:t xml:space="preserve"> – Março/2026</w:t>
      </w:r>
    </w:p>
    <w:sectPr w:rsidR="008F06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63C9622-5704-46DB-9E70-A5F7D12488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CA4B23-573B-427A-850C-694D148B4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D1B026-0C9C-4752-B3A1-FD558E793C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6D8"/>
    <w:rsid w:val="0002057A"/>
    <w:rsid w:val="00091D07"/>
    <w:rsid w:val="0015405A"/>
    <w:rsid w:val="00183D6D"/>
    <w:rsid w:val="001C4A89"/>
    <w:rsid w:val="001D3C4D"/>
    <w:rsid w:val="00291FED"/>
    <w:rsid w:val="002F3812"/>
    <w:rsid w:val="00337130"/>
    <w:rsid w:val="004C3F1E"/>
    <w:rsid w:val="00621A3E"/>
    <w:rsid w:val="00630B6A"/>
    <w:rsid w:val="0065657A"/>
    <w:rsid w:val="00694FE0"/>
    <w:rsid w:val="00732DC0"/>
    <w:rsid w:val="007D71EE"/>
    <w:rsid w:val="008446A5"/>
    <w:rsid w:val="00860E9F"/>
    <w:rsid w:val="00864877"/>
    <w:rsid w:val="008C0D20"/>
    <w:rsid w:val="008F06D8"/>
    <w:rsid w:val="00924740"/>
    <w:rsid w:val="00931FBD"/>
    <w:rsid w:val="00952ECF"/>
    <w:rsid w:val="009E5967"/>
    <w:rsid w:val="00A83AD1"/>
    <w:rsid w:val="00B11E79"/>
    <w:rsid w:val="00B41F4D"/>
    <w:rsid w:val="00BD36BF"/>
    <w:rsid w:val="00C94130"/>
    <w:rsid w:val="00CA54B0"/>
    <w:rsid w:val="00CC2EB7"/>
    <w:rsid w:val="00D40045"/>
    <w:rsid w:val="00D87B3A"/>
    <w:rsid w:val="00E254B7"/>
    <w:rsid w:val="00E94216"/>
    <w:rsid w:val="00EB0341"/>
    <w:rsid w:val="00EB5C62"/>
    <w:rsid w:val="089395DC"/>
    <w:rsid w:val="0B7070A5"/>
    <w:rsid w:val="15316003"/>
    <w:rsid w:val="1CF11D38"/>
    <w:rsid w:val="292A827F"/>
    <w:rsid w:val="31138086"/>
    <w:rsid w:val="34E541B5"/>
    <w:rsid w:val="3BC42F75"/>
    <w:rsid w:val="3BE96351"/>
    <w:rsid w:val="404941CC"/>
    <w:rsid w:val="41F68307"/>
    <w:rsid w:val="4F8A184F"/>
    <w:rsid w:val="538AAE5D"/>
    <w:rsid w:val="5439D4EF"/>
    <w:rsid w:val="5674656C"/>
    <w:rsid w:val="58D30BFD"/>
    <w:rsid w:val="58E3E57E"/>
    <w:rsid w:val="5A21834A"/>
    <w:rsid w:val="60918114"/>
    <w:rsid w:val="65363E8A"/>
    <w:rsid w:val="6E93FBC0"/>
    <w:rsid w:val="6FF1B6C6"/>
    <w:rsid w:val="7E2C9069"/>
    <w:rsid w:val="7EC91366"/>
    <w:rsid w:val="7ED79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E565C"/>
  <w15:docId w15:val="{E12161A7-6D4D-4475-A96F-EB3961FD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semiHidden/>
    <w:unhideWhenUsed/>
    <w:rsid w:val="0033713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713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713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1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130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9421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942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nejm.org/doi/full/10.1056/NEJMoa2508228?query=featured_hom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df3522f-8c42-44b0-bea3-7f162a60ea50}" enabled="1" method="Standard" siteId="{63982aff-fb6c-4c22-973b-70e4acfb63e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810</Words>
  <Characters>4950</Characters>
  <Application>Microsoft Office Word</Application>
  <DocSecurity>0</DocSecurity>
  <Lines>82</Lines>
  <Paragraphs>23</Paragraphs>
  <ScaleCrop>false</ScaleCrop>
  <Company>GlaxoSmithKline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Assis</dc:creator>
  <cp:lastModifiedBy>Jessica Assis</cp:lastModifiedBy>
  <cp:revision>2</cp:revision>
  <dcterms:created xsi:type="dcterms:W3CDTF">2026-03-30T11:50:00Z</dcterms:created>
  <dcterms:modified xsi:type="dcterms:W3CDTF">2026-03-30T11:50:00Z</dcterms:modified>
</cp:coreProperties>
</file>