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9D883" w14:textId="41FFD004" w:rsidR="00E85F84" w:rsidRDefault="00E85F84">
      <w:pPr>
        <w:pStyle w:val="Ttulo3"/>
        <w:keepNext w:val="0"/>
        <w:keepLines w:val="0"/>
        <w:spacing w:before="280"/>
        <w:jc w:val="center"/>
        <w:rPr>
          <w:b/>
          <w:bCs/>
          <w:color w:val="000000"/>
        </w:rPr>
      </w:pPr>
      <w:bookmarkStart w:id="0" w:name="_cvllbm388r3x" w:colFirst="0" w:colLast="0"/>
      <w:bookmarkEnd w:id="0"/>
      <w:r>
        <w:rPr>
          <w:b/>
          <w:bCs/>
          <w:color w:val="000000"/>
        </w:rPr>
        <w:t xml:space="preserve">Primeiro estudo </w:t>
      </w:r>
      <w:r w:rsidR="00E22293">
        <w:rPr>
          <w:b/>
          <w:bCs/>
          <w:color w:val="000000"/>
        </w:rPr>
        <w:t>com</w:t>
      </w:r>
      <w:r w:rsidRPr="00E85F84">
        <w:rPr>
          <w:b/>
          <w:bCs/>
          <w:color w:val="000000"/>
        </w:rPr>
        <w:t xml:space="preserve"> adolescentes vivendo com HIV </w:t>
      </w:r>
      <w:r w:rsidR="00E22293">
        <w:rPr>
          <w:b/>
          <w:bCs/>
          <w:color w:val="000000"/>
        </w:rPr>
        <w:t>indica preferência</w:t>
      </w:r>
      <w:r w:rsidR="001A3592">
        <w:rPr>
          <w:b/>
          <w:bCs/>
          <w:color w:val="000000"/>
        </w:rPr>
        <w:t xml:space="preserve"> de</w:t>
      </w:r>
      <w:r>
        <w:rPr>
          <w:b/>
          <w:bCs/>
          <w:color w:val="000000"/>
        </w:rPr>
        <w:t xml:space="preserve"> 97% </w:t>
      </w:r>
      <w:r w:rsidR="001A3592">
        <w:rPr>
          <w:b/>
          <w:bCs/>
          <w:color w:val="000000"/>
        </w:rPr>
        <w:t xml:space="preserve">por tratamento injetável de longa ação ao uso diário </w:t>
      </w:r>
      <w:r>
        <w:rPr>
          <w:b/>
          <w:bCs/>
          <w:color w:val="000000"/>
        </w:rPr>
        <w:t>de comprimidos</w:t>
      </w:r>
    </w:p>
    <w:p w14:paraId="00000002" w14:textId="317F6386" w:rsidR="008335C7" w:rsidRDefault="00345982" w:rsidP="00324D94">
      <w:pPr>
        <w:spacing w:before="240" w:after="240"/>
        <w:jc w:val="center"/>
        <w:rPr>
          <w:i/>
          <w:iCs/>
        </w:rPr>
      </w:pPr>
      <w:r>
        <w:rPr>
          <w:i/>
          <w:iCs/>
        </w:rPr>
        <w:t xml:space="preserve">Resultados do IMPAACT 2017 (MOCHA) revelam que o </w:t>
      </w:r>
      <w:r w:rsidR="00802A8C">
        <w:rPr>
          <w:i/>
          <w:iCs/>
        </w:rPr>
        <w:t>tratamento</w:t>
      </w:r>
      <w:r w:rsidR="0098201E">
        <w:rPr>
          <w:i/>
          <w:iCs/>
        </w:rPr>
        <w:t xml:space="preserve"> injetável de longa ação,</w:t>
      </w:r>
      <w:r w:rsidR="00802A8C">
        <w:rPr>
          <w:i/>
          <w:iCs/>
        </w:rPr>
        <w:t xml:space="preserve"> </w:t>
      </w:r>
      <w:proofErr w:type="spellStart"/>
      <w:r>
        <w:rPr>
          <w:i/>
          <w:iCs/>
        </w:rPr>
        <w:t>cabotegravir</w:t>
      </w:r>
      <w:proofErr w:type="spellEnd"/>
      <w:r>
        <w:rPr>
          <w:i/>
          <w:iCs/>
        </w:rPr>
        <w:t xml:space="preserve"> + </w:t>
      </w:r>
      <w:proofErr w:type="spellStart"/>
      <w:r>
        <w:rPr>
          <w:i/>
          <w:iCs/>
        </w:rPr>
        <w:t>rilpivirina</w:t>
      </w:r>
      <w:proofErr w:type="spellEnd"/>
      <w:r>
        <w:rPr>
          <w:i/>
          <w:iCs/>
        </w:rPr>
        <w:t xml:space="preserve">, manteve a supressão viral de forma eficaz em 94,4% dos adolescentes </w:t>
      </w:r>
      <w:r w:rsidR="00287C17">
        <w:rPr>
          <w:i/>
          <w:iCs/>
        </w:rPr>
        <w:t>entre</w:t>
      </w:r>
      <w:r>
        <w:rPr>
          <w:i/>
          <w:iCs/>
        </w:rPr>
        <w:t xml:space="preserve"> 12 </w:t>
      </w:r>
      <w:r w:rsidR="00287C17">
        <w:rPr>
          <w:i/>
          <w:iCs/>
        </w:rPr>
        <w:t>a</w:t>
      </w:r>
      <w:r>
        <w:rPr>
          <w:i/>
          <w:iCs/>
        </w:rPr>
        <w:t xml:space="preserve"> menores de 18</w:t>
      </w:r>
      <w:r w:rsidR="00D20D17">
        <w:rPr>
          <w:i/>
          <w:iCs/>
        </w:rPr>
        <w:t xml:space="preserve"> anos</w:t>
      </w:r>
    </w:p>
    <w:p w14:paraId="00000003" w14:textId="4A17E06B" w:rsidR="008335C7" w:rsidRDefault="0066101C">
      <w:pPr>
        <w:spacing w:before="240" w:after="240"/>
        <w:jc w:val="both"/>
      </w:pPr>
      <w:r w:rsidRPr="0066101C">
        <w:rPr>
          <w:b/>
          <w:bCs/>
        </w:rPr>
        <w:t>Rio de Janeiro, março de 2026</w:t>
      </w:r>
      <w:r>
        <w:t xml:space="preserve"> - A ViiV Healthcare, líder em pesquisa e desenvolvimento de prevenção e tratamentos para o HIV,</w:t>
      </w:r>
      <w:r w:rsidR="008A79C4">
        <w:t xml:space="preserve"> representada pela GSK no Brasil, </w:t>
      </w:r>
      <w:r>
        <w:t>divulg</w:t>
      </w:r>
      <w:r w:rsidR="008A79C4">
        <w:t xml:space="preserve">ou </w:t>
      </w:r>
      <w:r w:rsidR="00890EDA">
        <w:t xml:space="preserve">na </w:t>
      </w:r>
      <w:r w:rsidR="00890EDA" w:rsidRPr="00890EDA">
        <w:t>33ª Conferência sobre Retrovírus e Infecções Oportunistas (CROI 2026) em Denver, Colorado</w:t>
      </w:r>
      <w:r w:rsidR="00890EDA">
        <w:t xml:space="preserve">, </w:t>
      </w:r>
      <w:r w:rsidR="008A79C4">
        <w:t>o</w:t>
      </w:r>
      <w:r>
        <w:t>s resultados finais do estudo de fase I/II IMPAACT 2017 (MOCHA)</w:t>
      </w:r>
      <w:r w:rsidR="00890EDA" w:rsidRPr="00890EDA">
        <w:t xml:space="preserve"> </w:t>
      </w:r>
      <w:r>
        <w:t xml:space="preserve">de 96 semanas, o primeiro ensaio clínico a avaliar um regime completo de tratamento injetável de longa ação em adolescentes vivendo com HIV.¹ Os dados confirmam que o tratamento injetável de </w:t>
      </w:r>
      <w:r w:rsidR="00802A8C">
        <w:t xml:space="preserve">longa </w:t>
      </w:r>
      <w:r>
        <w:t xml:space="preserve">ação </w:t>
      </w:r>
      <w:r w:rsidR="00891980">
        <w:t>(</w:t>
      </w:r>
      <w:proofErr w:type="spellStart"/>
      <w:r>
        <w:t>cabotegravir</w:t>
      </w:r>
      <w:proofErr w:type="spellEnd"/>
      <w:r>
        <w:t xml:space="preserve"> </w:t>
      </w:r>
      <w:r w:rsidR="00891980">
        <w:t>+</w:t>
      </w:r>
      <w:r>
        <w:t xml:space="preserve"> </w:t>
      </w:r>
      <w:proofErr w:type="spellStart"/>
      <w:r>
        <w:t>rilpivirina</w:t>
      </w:r>
      <w:proofErr w:type="spellEnd"/>
      <w:r w:rsidR="00891980">
        <w:t>)</w:t>
      </w:r>
      <w:r>
        <w:t xml:space="preserve"> é eficaz e bem tolerado em adolescentes de 12 anos </w:t>
      </w:r>
      <w:r w:rsidR="00D20D17">
        <w:t>a</w:t>
      </w:r>
      <w:r>
        <w:t xml:space="preserve"> menores de 18.¹</w:t>
      </w:r>
    </w:p>
    <w:p w14:paraId="00000004" w14:textId="62ED6FDE" w:rsidR="008335C7" w:rsidRDefault="00345982">
      <w:pPr>
        <w:spacing w:before="240" w:after="240"/>
        <w:jc w:val="both"/>
      </w:pPr>
      <w:r>
        <w:t xml:space="preserve">O estudo demonstrou que </w:t>
      </w:r>
      <w:r w:rsidRPr="5F0D6B77">
        <w:rPr>
          <w:b/>
          <w:bCs/>
        </w:rPr>
        <w:t xml:space="preserve">94,4% dos adolescentes com supressão </w:t>
      </w:r>
      <w:proofErr w:type="spellStart"/>
      <w:r w:rsidRPr="5F0D6B77">
        <w:rPr>
          <w:b/>
          <w:bCs/>
        </w:rPr>
        <w:t>virológica</w:t>
      </w:r>
      <w:proofErr w:type="spellEnd"/>
      <w:r w:rsidRPr="5F0D6B77">
        <w:rPr>
          <w:b/>
          <w:bCs/>
        </w:rPr>
        <w:t>,</w:t>
      </w:r>
      <w:r w:rsidR="00B305DC" w:rsidRPr="5F0D6B77">
        <w:rPr>
          <w:b/>
          <w:bCs/>
        </w:rPr>
        <w:t xml:space="preserve"> </w:t>
      </w:r>
      <w:r w:rsidRPr="5F0D6B77">
        <w:rPr>
          <w:b/>
          <w:bCs/>
        </w:rPr>
        <w:t>entre 12</w:t>
      </w:r>
      <w:r w:rsidR="00B305DC" w:rsidRPr="5F0D6B77">
        <w:rPr>
          <w:b/>
          <w:bCs/>
        </w:rPr>
        <w:t xml:space="preserve"> </w:t>
      </w:r>
      <w:r w:rsidRPr="5F0D6B77">
        <w:rPr>
          <w:b/>
          <w:bCs/>
        </w:rPr>
        <w:t>até menores de 18</w:t>
      </w:r>
      <w:r w:rsidR="00B305DC" w:rsidRPr="5F0D6B77">
        <w:rPr>
          <w:b/>
          <w:bCs/>
        </w:rPr>
        <w:t xml:space="preserve"> anos</w:t>
      </w:r>
      <w:r>
        <w:t xml:space="preserve">, que trocaram o tratamento oral diário </w:t>
      </w:r>
      <w:r w:rsidR="00C501B1">
        <w:t>de</w:t>
      </w:r>
      <w:r>
        <w:t xml:space="preserve"> HIV pel</w:t>
      </w:r>
      <w:r w:rsidR="00C501B1">
        <w:t xml:space="preserve">o injetável </w:t>
      </w:r>
      <w:r>
        <w:t xml:space="preserve">de longa ação </w:t>
      </w:r>
      <w:r w:rsidR="00C501B1">
        <w:t>(</w:t>
      </w:r>
      <w:proofErr w:type="spellStart"/>
      <w:r>
        <w:t>cabotegravir</w:t>
      </w:r>
      <w:proofErr w:type="spellEnd"/>
      <w:r>
        <w:t xml:space="preserve"> + </w:t>
      </w:r>
      <w:proofErr w:type="spellStart"/>
      <w:r>
        <w:t>rilpivirina</w:t>
      </w:r>
      <w:proofErr w:type="spellEnd"/>
      <w:r w:rsidR="00C501B1">
        <w:t>)</w:t>
      </w:r>
      <w:r>
        <w:t xml:space="preserve"> a cada dois meses, </w:t>
      </w:r>
      <w:r w:rsidRPr="5F0D6B77">
        <w:rPr>
          <w:b/>
          <w:bCs/>
        </w:rPr>
        <w:t>mantiveram a supressão viral (carga viral &lt;50 cópias/</w:t>
      </w:r>
      <w:proofErr w:type="spellStart"/>
      <w:r w:rsidRPr="5F0D6B77">
        <w:rPr>
          <w:b/>
          <w:bCs/>
        </w:rPr>
        <w:t>mL</w:t>
      </w:r>
      <w:proofErr w:type="spellEnd"/>
      <w:r w:rsidRPr="5F0D6B77">
        <w:rPr>
          <w:b/>
          <w:bCs/>
        </w:rPr>
        <w:t>) na semana 96, com mais de 97% indicando preferência pelas injeções</w:t>
      </w:r>
      <w:r>
        <w:t xml:space="preserve"> em relação </w:t>
      </w:r>
      <w:r w:rsidR="0062465C">
        <w:t>à</w:t>
      </w:r>
      <w:r>
        <w:t xml:space="preserve"> terapia </w:t>
      </w:r>
      <w:r w:rsidR="001945AA">
        <w:t>antirretroviral oral</w:t>
      </w:r>
      <w:r>
        <w:t xml:space="preserve"> </w:t>
      </w:r>
      <w:proofErr w:type="gramStart"/>
      <w:r>
        <w:t>diária.¹</w:t>
      </w:r>
      <w:proofErr w:type="gramEnd"/>
    </w:p>
    <w:p w14:paraId="00000005" w14:textId="0031A080" w:rsidR="008335C7" w:rsidRDefault="00A33B9D">
      <w:pPr>
        <w:spacing w:before="240" w:after="240"/>
        <w:jc w:val="both"/>
        <w:rPr>
          <w:highlight w:val="yellow"/>
        </w:rPr>
      </w:pPr>
      <w:r w:rsidRPr="002F0A50">
        <w:rPr>
          <w:i/>
          <w:iCs/>
          <w:highlight w:val="white"/>
        </w:rPr>
        <w:t>“O cuidado de adolescentes vivendo com HIV envolve desafios específicos, especialmente relacionados à adesão ao tratamento em uma fase marcada por intensas mudanças biopsicossociais. O estigma associado ao uso diário de medicamentos pode, em alguns casos, impactar negativamente a continuidade do tratamento. Os resultados do estudo IMPAACT 2017 mostram que o regime injetável de longa ação foi amplamente aceito por essa população, com alta preferência em relação à terapia oral diária. Esses achados sugerem que a redução da frequência de administração pode favorecer maior autonomia e uma experiência de cuidado mais alinhada às necessidades dos adolescentes, o que é um aspecto relevante quando pensamos em estratégias para apoiar a adesão a longo prazo”</w:t>
      </w:r>
      <w:r w:rsidR="001A731E" w:rsidRPr="001A731E">
        <w:rPr>
          <w:i/>
          <w:iCs/>
          <w:vertAlign w:val="superscript"/>
        </w:rPr>
        <w:t>2</w:t>
      </w:r>
      <w:r>
        <w:t>,</w:t>
      </w:r>
      <w:r w:rsidR="00345982">
        <w:t xml:space="preserve"> afirma </w:t>
      </w:r>
      <w:r w:rsidR="001375CD">
        <w:t>Dr. Ricardo Diaz</w:t>
      </w:r>
      <w:r w:rsidR="003D5861">
        <w:t xml:space="preserve"> (</w:t>
      </w:r>
      <w:r w:rsidR="003D5861" w:rsidRPr="00924740">
        <w:t>CRM SP 57803)</w:t>
      </w:r>
      <w:r w:rsidR="001375CD">
        <w:t xml:space="preserve">, infectologista, </w:t>
      </w:r>
      <w:r w:rsidR="0062465C">
        <w:t xml:space="preserve">professor e </w:t>
      </w:r>
      <w:r w:rsidR="001375CD">
        <w:t xml:space="preserve">pesquisador da Escola de Medicina da Unifesp e presidente da Sociedade Brasileira de </w:t>
      </w:r>
      <w:r w:rsidR="00DA73B2">
        <w:t xml:space="preserve">Infectologia (SBI). </w:t>
      </w:r>
    </w:p>
    <w:p w14:paraId="00000006" w14:textId="1ED59601" w:rsidR="008335C7" w:rsidRDefault="00345982">
      <w:pPr>
        <w:spacing w:before="240" w:after="240"/>
        <w:jc w:val="both"/>
        <w:rPr>
          <w:b/>
          <w:bCs/>
        </w:rPr>
      </w:pPr>
      <w:r w:rsidRPr="5F0D6B77">
        <w:rPr>
          <w:b/>
          <w:bCs/>
        </w:rPr>
        <w:t>Sobre o estudo IMPAACT 20</w:t>
      </w:r>
      <w:r w:rsidR="0062465C">
        <w:rPr>
          <w:b/>
          <w:bCs/>
        </w:rPr>
        <w:t>1</w:t>
      </w:r>
      <w:r w:rsidRPr="5F0D6B77">
        <w:rPr>
          <w:b/>
          <w:bCs/>
        </w:rPr>
        <w:t>7¹</w:t>
      </w:r>
    </w:p>
    <w:p w14:paraId="00000007" w14:textId="5B8C9A7A" w:rsidR="008335C7" w:rsidRDefault="00345982">
      <w:pPr>
        <w:spacing w:before="240" w:after="240"/>
        <w:jc w:val="both"/>
      </w:pPr>
      <w:r>
        <w:t xml:space="preserve">O </w:t>
      </w:r>
      <w:proofErr w:type="spellStart"/>
      <w:r>
        <w:t>International</w:t>
      </w:r>
      <w:proofErr w:type="spellEnd"/>
      <w:r>
        <w:t xml:space="preserve"> Maternal </w:t>
      </w:r>
      <w:proofErr w:type="spellStart"/>
      <w:r>
        <w:t>Pediatric</w:t>
      </w:r>
      <w:proofErr w:type="spellEnd"/>
      <w:r>
        <w:t xml:space="preserve"> </w:t>
      </w:r>
      <w:proofErr w:type="spellStart"/>
      <w:r>
        <w:t>Adolescent</w:t>
      </w:r>
      <w:proofErr w:type="spellEnd"/>
      <w:r>
        <w:t xml:space="preserve"> AIDS Clinical </w:t>
      </w:r>
      <w:proofErr w:type="spellStart"/>
      <w:r>
        <w:t>Trials</w:t>
      </w:r>
      <w:proofErr w:type="spellEnd"/>
      <w:r>
        <w:t xml:space="preserve"> (IMPAACT) Network 2017 / MOCHA é um estudo de fase I/II que avalia um regime injetável </w:t>
      </w:r>
      <w:r w:rsidR="00EB4017">
        <w:t xml:space="preserve">de longa ação </w:t>
      </w:r>
      <w:r>
        <w:t xml:space="preserve">completo de </w:t>
      </w:r>
      <w:proofErr w:type="spellStart"/>
      <w:r w:rsidR="00EB4017">
        <w:t>cabotegravir</w:t>
      </w:r>
      <w:proofErr w:type="spellEnd"/>
      <w:r w:rsidR="00EB4017">
        <w:t xml:space="preserve"> + </w:t>
      </w:r>
      <w:proofErr w:type="spellStart"/>
      <w:r w:rsidR="00EB4017">
        <w:t>rilpivirina</w:t>
      </w:r>
      <w:proofErr w:type="spellEnd"/>
      <w:r w:rsidR="00EB4017">
        <w:t xml:space="preserve"> </w:t>
      </w:r>
      <w:r>
        <w:t xml:space="preserve">em 144 adolescentes com supressão </w:t>
      </w:r>
      <w:proofErr w:type="spellStart"/>
      <w:r>
        <w:t>virológica</w:t>
      </w:r>
      <w:proofErr w:type="spellEnd"/>
      <w:r>
        <w:t>, com idades entre 12 e meno</w:t>
      </w:r>
      <w:r w:rsidR="00264253">
        <w:t>re</w:t>
      </w:r>
      <w:r>
        <w:t xml:space="preserve">s de 18 anos e igual ou </w:t>
      </w:r>
      <w:r w:rsidR="00A33B9D">
        <w:t>superior a</w:t>
      </w:r>
      <w:r>
        <w:t xml:space="preserve"> 35 kg, que fizeram a transição da terapia antirretroviral oral </w:t>
      </w:r>
      <w:proofErr w:type="gramStart"/>
      <w:r>
        <w:t>diária.¹</w:t>
      </w:r>
      <w:proofErr w:type="gramEnd"/>
    </w:p>
    <w:p w14:paraId="00000008" w14:textId="64555C76" w:rsidR="008335C7" w:rsidRDefault="00345982">
      <w:pPr>
        <w:spacing w:before="240" w:after="240"/>
        <w:jc w:val="both"/>
      </w:pPr>
      <w:r>
        <w:t xml:space="preserve">Os resultados da semana 96 e do final do estudo mostraram que o medicamento, administrado a cada dois meses, manteve a supressão viral (94,4%, n=136/144) sem falhas </w:t>
      </w:r>
      <w:proofErr w:type="spellStart"/>
      <w:r>
        <w:t>virológicas</w:t>
      </w:r>
      <w:proofErr w:type="spellEnd"/>
      <w:r>
        <w:t xml:space="preserve"> confirmadas. Em todas as semanas avaliadas, </w:t>
      </w:r>
      <w:r w:rsidR="00EB4017">
        <w:t xml:space="preserve">mais de </w:t>
      </w:r>
      <w:r>
        <w:t xml:space="preserve">97% (n=138/142; semana 8) dos participantes preferiram as injeções de longa duração à terapia antirretroviral oral </w:t>
      </w:r>
      <w:r>
        <w:lastRenderedPageBreak/>
        <w:t>diária. Na semana 96, 95% (n=137/144) concluíram o tratamento e a preferência pelas injeções foi de 100% (n=135/135</w:t>
      </w:r>
      <w:proofErr w:type="gramStart"/>
      <w:r>
        <w:t>).¹</w:t>
      </w:r>
      <w:proofErr w:type="gramEnd"/>
    </w:p>
    <w:p w14:paraId="00000009" w14:textId="0E45FED6" w:rsidR="008335C7" w:rsidRDefault="00345982">
      <w:pPr>
        <w:spacing w:before="240" w:after="240"/>
        <w:jc w:val="both"/>
      </w:pPr>
      <w:r>
        <w:t>O regime de ação prolongada foi bem tolerado, com 42% (n=60/144) dos participantes apresentando um evento adverso (EA) relacionado ao medicamento, sendo os mais comuns</w:t>
      </w:r>
      <w:r w:rsidR="00B51C46">
        <w:t>:</w:t>
      </w:r>
      <w:r>
        <w:t xml:space="preserve"> tosse (31,9%, n=46), cefaleia (26,4%, n=38) e infecções do trato respiratório superior (20,1%, n=29). Dos 142 participantes que receberam pelo menos uma injeção, 37% (n=52/142) relataram reações no local, que consistiram principalmente em dor leve a moderada, geralmente resolvida em uma semana. Foram observados dois </w:t>
      </w:r>
      <w:r w:rsidR="00B51C46">
        <w:t>eventos adversos</w:t>
      </w:r>
      <w:r>
        <w:t xml:space="preserve"> de grau 3 e uma reação de grau 4 relacionados ao medicamento, e todos </w:t>
      </w:r>
      <w:proofErr w:type="gramStart"/>
      <w:r>
        <w:t>resolvidos.¹</w:t>
      </w:r>
      <w:proofErr w:type="gramEnd"/>
    </w:p>
    <w:p w14:paraId="0000000A" w14:textId="080CAA01" w:rsidR="008335C7" w:rsidRDefault="00345982">
      <w:pPr>
        <w:spacing w:before="240" w:after="240"/>
        <w:jc w:val="both"/>
      </w:pPr>
      <w:r>
        <w:t>"</w:t>
      </w:r>
      <w:r w:rsidRPr="002F0A50">
        <w:rPr>
          <w:i/>
          <w:iCs/>
        </w:rPr>
        <w:t>O IMPAACT 2017 é um marco histórico</w:t>
      </w:r>
      <w:r w:rsidR="00AA0BB6">
        <w:rPr>
          <w:i/>
          <w:iCs/>
        </w:rPr>
        <w:t xml:space="preserve"> </w:t>
      </w:r>
      <w:proofErr w:type="spellStart"/>
      <w:r w:rsidR="7474A928" w:rsidRPr="002F0A50">
        <w:rPr>
          <w:i/>
          <w:iCs/>
        </w:rPr>
        <w:t>relavante</w:t>
      </w:r>
      <w:proofErr w:type="spellEnd"/>
      <w:r w:rsidRPr="002F0A50">
        <w:rPr>
          <w:i/>
          <w:iCs/>
        </w:rPr>
        <w:t xml:space="preserve"> na estratégia de acabar com a epidemia de HIV/Aids no Brasil e no mundo. Ao oferecermos uma alternativa que elimina a necessidade do comprimido diário e</w:t>
      </w:r>
      <w:r w:rsidR="00516DAD" w:rsidRPr="002F0A50">
        <w:rPr>
          <w:i/>
          <w:iCs/>
        </w:rPr>
        <w:t xml:space="preserve">, </w:t>
      </w:r>
      <w:r w:rsidR="3023D53D" w:rsidRPr="002F0A50">
        <w:rPr>
          <w:i/>
          <w:iCs/>
        </w:rPr>
        <w:t>contribuindo para reduzir o estigma associado ao tratamento do HIV</w:t>
      </w:r>
      <w:r w:rsidRPr="002F0A50">
        <w:rPr>
          <w:i/>
          <w:iCs/>
        </w:rPr>
        <w:t>, aumentamos as chances de manter esses jovens com carga viral indetectável a longo prazo. No contexto de saúde pública, indetectável é igual a intransmissível, o que significa que cada adolescente que adere ao tratamento injetável</w:t>
      </w:r>
      <w:r w:rsidR="00516DAD" w:rsidRPr="002F0A50">
        <w:rPr>
          <w:i/>
          <w:iCs/>
        </w:rPr>
        <w:t xml:space="preserve">, estamos mais próximos de </w:t>
      </w:r>
      <w:r w:rsidRPr="002F0A50">
        <w:rPr>
          <w:i/>
          <w:iCs/>
        </w:rPr>
        <w:t>interromper a cadeia de transmissão e avançar rumo às metas globais de controle do HIV</w:t>
      </w:r>
      <w:r>
        <w:t>”</w:t>
      </w:r>
      <w:r w:rsidR="001A731E">
        <w:rPr>
          <w:vertAlign w:val="superscript"/>
        </w:rPr>
        <w:t>3</w:t>
      </w:r>
      <w:r>
        <w:t xml:space="preserve">, destaca </w:t>
      </w:r>
      <w:r w:rsidR="00AC5EA8">
        <w:t>Dr. Rodrigo Zilli</w:t>
      </w:r>
      <w:r w:rsidR="00C10973">
        <w:t xml:space="preserve"> (</w:t>
      </w:r>
      <w:r w:rsidR="00C10973" w:rsidRPr="00C10973">
        <w:t>CRM-RJ 66738-2</w:t>
      </w:r>
      <w:r w:rsidR="00C10973">
        <w:t>)</w:t>
      </w:r>
      <w:r w:rsidR="00AC5EA8">
        <w:t>, diretor médico de Vacinas e HIV d</w:t>
      </w:r>
      <w:r>
        <w:t>a GSK</w:t>
      </w:r>
      <w:r w:rsidR="00AC5EA8">
        <w:t xml:space="preserve"> Brasil. </w:t>
      </w:r>
    </w:p>
    <w:p w14:paraId="0000000B" w14:textId="06F902B1" w:rsidR="008335C7" w:rsidRDefault="00345982">
      <w:pPr>
        <w:spacing w:before="240" w:after="240"/>
        <w:jc w:val="both"/>
        <w:rPr>
          <w:b/>
          <w:bCs/>
        </w:rPr>
      </w:pPr>
      <w:r w:rsidRPr="5F0D6B77">
        <w:rPr>
          <w:b/>
          <w:bCs/>
        </w:rPr>
        <w:t>Sobre o IMPAACT 2036</w:t>
      </w:r>
      <w:r w:rsidR="001A731E" w:rsidRPr="001A731E">
        <w:rPr>
          <w:b/>
          <w:bCs/>
          <w:vertAlign w:val="superscript"/>
        </w:rPr>
        <w:t>4</w:t>
      </w:r>
    </w:p>
    <w:p w14:paraId="0000000C" w14:textId="179DD953" w:rsidR="008335C7" w:rsidRDefault="00345982">
      <w:pPr>
        <w:spacing w:before="240" w:after="240"/>
        <w:jc w:val="both"/>
      </w:pPr>
      <w:r>
        <w:t xml:space="preserve">Dados preliminares de um outro estudo também </w:t>
      </w:r>
      <w:r w:rsidR="00DB056E">
        <w:t>apresentado</w:t>
      </w:r>
      <w:r w:rsidR="00045B68">
        <w:t xml:space="preserve"> no Congresso</w:t>
      </w:r>
      <w:r>
        <w:t>, o IMPAACT 2036, de fase I/II</w:t>
      </w:r>
      <w:r w:rsidR="00DB056E">
        <w:t>,</w:t>
      </w:r>
      <w:r>
        <w:t xml:space="preserve"> em andamento com crianças com supressão </w:t>
      </w:r>
      <w:proofErr w:type="spellStart"/>
      <w:r>
        <w:t>virológica</w:t>
      </w:r>
      <w:proofErr w:type="spellEnd"/>
      <w:r>
        <w:t xml:space="preserve">, de 2 a </w:t>
      </w:r>
      <w:r w:rsidR="008D5FA9">
        <w:t xml:space="preserve">menores de </w:t>
      </w:r>
      <w:r>
        <w:t>12 anos de idade</w:t>
      </w:r>
      <w:r w:rsidR="008D5FA9">
        <w:t>,</w:t>
      </w:r>
      <w:r>
        <w:t xml:space="preserve"> e com peso entre 10 e </w:t>
      </w:r>
      <w:r w:rsidR="008D5FA9">
        <w:t xml:space="preserve">menos que </w:t>
      </w:r>
      <w:r>
        <w:t xml:space="preserve">40 kg, fornecem as primeiras evidências do comportamento do medicamento no organismo dos adolescentes e de segurança para </w:t>
      </w:r>
      <w:r w:rsidR="00045B68">
        <w:t>tratamento injetável de longa ação (</w:t>
      </w:r>
      <w:proofErr w:type="spellStart"/>
      <w:r w:rsidR="00045B68">
        <w:t>cabotegravir</w:t>
      </w:r>
      <w:proofErr w:type="spellEnd"/>
      <w:r w:rsidR="00045B68">
        <w:t xml:space="preserve"> + </w:t>
      </w:r>
      <w:proofErr w:type="spellStart"/>
      <w:r w:rsidR="00045B68">
        <w:t>rilpivirina</w:t>
      </w:r>
      <w:proofErr w:type="spellEnd"/>
      <w:r w:rsidR="00045B68">
        <w:t>) e</w:t>
      </w:r>
      <w:r>
        <w:t>m crianças pequenas, incluind</w:t>
      </w:r>
      <w:r w:rsidR="001D0D45">
        <w:t xml:space="preserve">o </w:t>
      </w:r>
      <w:r w:rsidR="001D0D45" w:rsidRPr="001D0D45">
        <w:t>dados iniciais e ainda em amadurecimento em crianças com menos de 20 kg</w:t>
      </w:r>
      <w:r>
        <w:t>, indicando o potencial de estender o tratamento injetável de longa duração para faixas etárias pediátricas mais precoces e grupos de menor peso.</w:t>
      </w:r>
      <w:r w:rsidR="001A731E" w:rsidRPr="001A731E">
        <w:rPr>
          <w:vertAlign w:val="superscript"/>
        </w:rPr>
        <w:t>4</w:t>
      </w:r>
    </w:p>
    <w:p w14:paraId="385ADD0B" w14:textId="291BAFFB" w:rsidR="00045B68" w:rsidRDefault="00045B68">
      <w:pPr>
        <w:spacing w:before="240" w:after="240"/>
        <w:jc w:val="both"/>
      </w:pPr>
      <w:r w:rsidRPr="00045B68">
        <w:t>Os resultados mostraram que a combinação de</w:t>
      </w:r>
      <w:r>
        <w:t xml:space="preserve"> injetáveis de longa ação</w:t>
      </w:r>
      <w:r w:rsidRPr="00045B68">
        <w:t xml:space="preserve"> </w:t>
      </w:r>
      <w:proofErr w:type="spellStart"/>
      <w:r>
        <w:t>cabotegravir</w:t>
      </w:r>
      <w:proofErr w:type="spellEnd"/>
      <w:r>
        <w:t xml:space="preserve"> + </w:t>
      </w:r>
      <w:proofErr w:type="spellStart"/>
      <w:r>
        <w:t>rilpivirina</w:t>
      </w:r>
      <w:proofErr w:type="spellEnd"/>
      <w:r w:rsidRPr="00045B68">
        <w:t xml:space="preserve"> atingiu as metas definidas no protocolo, com concentrações plasmáticas semelhantes às observadas em adolescentes e adultos que receberam terapia de longa </w:t>
      </w:r>
      <w:proofErr w:type="gramStart"/>
      <w:r w:rsidRPr="00045B68">
        <w:t>duração.²</w:t>
      </w:r>
      <w:proofErr w:type="gramEnd"/>
      <w:r w:rsidRPr="00045B68">
        <w:t xml:space="preserve"> Não foram observados sinais de segurança novos ou inesperados. Eventos adversos de maior gravidade (grau ≥3) ocorreram em 10% (n=6/61) das crianças; todos os eventos foram resolvidos. Reações pós</w:t>
      </w:r>
      <w:r w:rsidRPr="00045B68">
        <w:rPr>
          <w:rFonts w:ascii="Cambria Math" w:hAnsi="Cambria Math" w:cs="Cambria Math"/>
        </w:rPr>
        <w:t>‑</w:t>
      </w:r>
      <w:r w:rsidRPr="00045B68">
        <w:t>injeção relacionadas ao medicamento incluíram duas de grau 2 e uma de grau 3. A dor no local da injeção foi o evento adverso mais comum, relatado em 46% (n=28/61) das crianças, e limitou</w:t>
      </w:r>
      <w:r w:rsidRPr="00045B68">
        <w:rPr>
          <w:rFonts w:ascii="Cambria Math" w:hAnsi="Cambria Math" w:cs="Cambria Math"/>
        </w:rPr>
        <w:t>‑</w:t>
      </w:r>
      <w:r w:rsidRPr="00045B68">
        <w:t>se a intensidade leve a moderada (graus 1 e 2).</w:t>
      </w:r>
      <w:r w:rsidR="001A731E" w:rsidRPr="001A731E">
        <w:rPr>
          <w:vertAlign w:val="superscript"/>
        </w:rPr>
        <w:t>4</w:t>
      </w:r>
    </w:p>
    <w:p w14:paraId="0000000E" w14:textId="77777777" w:rsidR="008335C7" w:rsidRDefault="00345982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Referências:</w:t>
      </w:r>
    </w:p>
    <w:p w14:paraId="765A7D80" w14:textId="77777777" w:rsidR="00234134" w:rsidRDefault="00345982" w:rsidP="00266F9A">
      <w:pPr>
        <w:spacing w:before="240" w:after="240"/>
      </w:pPr>
      <w:r>
        <w:t xml:space="preserve">1. A. </w:t>
      </w:r>
      <w:proofErr w:type="spellStart"/>
      <w:r>
        <w:t>Gaur</w:t>
      </w:r>
      <w:proofErr w:type="spellEnd"/>
      <w:r>
        <w:t xml:space="preserve"> et al. </w:t>
      </w:r>
      <w:proofErr w:type="spellStart"/>
      <w:r>
        <w:t>Cabotegravir</w:t>
      </w:r>
      <w:proofErr w:type="spellEnd"/>
      <w:r>
        <w:t xml:space="preserve"> + </w:t>
      </w:r>
      <w:proofErr w:type="spellStart"/>
      <w:r>
        <w:t>Rilpivirina</w:t>
      </w:r>
      <w:proofErr w:type="spellEnd"/>
      <w:r>
        <w:t xml:space="preserve"> de longa duração em adolescentes: Resultados da semana 96 e do final do estudo IMPAACT 2017. Apresentado na 33ª Conferência sobre Retrovírus e Infecções Oportunistas (CROI). Fevereiro de 2026.</w:t>
      </w:r>
      <w:r w:rsidR="00797F4C">
        <w:br/>
        <w:t xml:space="preserve">2. </w:t>
      </w:r>
      <w:r w:rsidR="00234134">
        <w:t xml:space="preserve">BRASIL. Ministério da Saúde. Protocolo Clínico de Diretrizes Terapêuticas. Disponível em:&lt;https://www.gov.br/aids/pt-br/central-de- </w:t>
      </w:r>
    </w:p>
    <w:p w14:paraId="00000010" w14:textId="618CFBD6" w:rsidR="008335C7" w:rsidRDefault="00234134" w:rsidP="00266F9A">
      <w:pPr>
        <w:spacing w:before="240" w:after="240"/>
      </w:pPr>
      <w:proofErr w:type="spellStart"/>
      <w:r>
        <w:lastRenderedPageBreak/>
        <w:t>conteudo</w:t>
      </w:r>
      <w:proofErr w:type="spellEnd"/>
      <w:r>
        <w:t>/</w:t>
      </w:r>
      <w:proofErr w:type="spellStart"/>
      <w:r>
        <w:t>pcdts</w:t>
      </w:r>
      <w:proofErr w:type="spellEnd"/>
      <w:r>
        <w:t xml:space="preserve">/pcdt_hiv_modulo_1_2024.pdf&gt;. Acesso em: </w:t>
      </w:r>
      <w:proofErr w:type="gramStart"/>
      <w:r>
        <w:t>Març</w:t>
      </w:r>
      <w:r>
        <w:t>o</w:t>
      </w:r>
      <w:proofErr w:type="gramEnd"/>
      <w:r>
        <w:t>/202</w:t>
      </w:r>
      <w:r>
        <w:t>6</w:t>
      </w:r>
      <w:r>
        <w:t>.</w:t>
      </w:r>
      <w:r w:rsidR="0079534D">
        <w:br/>
        <w:t xml:space="preserve">3. </w:t>
      </w:r>
      <w:r w:rsidR="00084A11">
        <w:t xml:space="preserve">BRASIL. Ministério da Saúde. </w:t>
      </w:r>
      <w:r w:rsidR="00266F9A">
        <w:t>PROTOCOLO CLÍNICO</w:t>
      </w:r>
      <w:r w:rsidR="00266F9A">
        <w:t xml:space="preserve"> </w:t>
      </w:r>
      <w:r w:rsidR="00266F9A">
        <w:t>E DIRETRIZES TERAPÊUTICAS PARA</w:t>
      </w:r>
      <w:r w:rsidR="00266F9A">
        <w:t xml:space="preserve"> </w:t>
      </w:r>
      <w:r w:rsidR="00266F9A">
        <w:t>MANEJO DA INFECÇÃO PELO HIV EM CRIANÇAS E ADOLESCENTES</w:t>
      </w:r>
      <w:r w:rsidR="00084A11">
        <w:t>. Disponível em:&lt;</w:t>
      </w:r>
      <w:r w:rsidR="006D6053" w:rsidRPr="006D6053">
        <w:t xml:space="preserve"> </w:t>
      </w:r>
      <w:r w:rsidR="006D6053" w:rsidRPr="006D6053">
        <w:t>https://www.gov.br/aids/pt-br/central-de-conteudo/pcdts/PCDT_HIV_Criana_Modulo_1_2024_e.pdf</w:t>
      </w:r>
      <w:r w:rsidR="00084A11">
        <w:t xml:space="preserve">&gt;. Acesso em: </w:t>
      </w:r>
      <w:proofErr w:type="gramStart"/>
      <w:r w:rsidR="00084A11">
        <w:t>Março</w:t>
      </w:r>
      <w:proofErr w:type="gramEnd"/>
      <w:r w:rsidR="00084A11">
        <w:t>/2026.</w:t>
      </w:r>
      <w:r w:rsidR="00266F9A">
        <w:br/>
        <w:t xml:space="preserve">4. </w:t>
      </w:r>
      <w:r w:rsidR="00345982">
        <w:t xml:space="preserve">M. </w:t>
      </w:r>
      <w:proofErr w:type="spellStart"/>
      <w:r w:rsidR="00345982">
        <w:t>Archary</w:t>
      </w:r>
      <w:proofErr w:type="spellEnd"/>
      <w:r w:rsidR="00345982">
        <w:t xml:space="preserve"> et al. Segurança e farmacocinética de </w:t>
      </w:r>
      <w:proofErr w:type="spellStart"/>
      <w:r w:rsidR="00345982">
        <w:t>cabotegravir</w:t>
      </w:r>
      <w:proofErr w:type="spellEnd"/>
      <w:r w:rsidR="00345982">
        <w:t xml:space="preserve"> e </w:t>
      </w:r>
      <w:proofErr w:type="spellStart"/>
      <w:r w:rsidR="00345982">
        <w:t>rilpivirina</w:t>
      </w:r>
      <w:proofErr w:type="spellEnd"/>
      <w:r w:rsidR="00345982">
        <w:t xml:space="preserve"> de longa duração em crianças pequenas de 10 a &lt;40 kg. Apresentado na 33ª Conferência sobre Retrovírus e Infecções Oportunistas (CROI). Fevereiro de 2026.</w:t>
      </w:r>
    </w:p>
    <w:p w14:paraId="0854E78A" w14:textId="77777777" w:rsidR="002B5505" w:rsidRDefault="002B5505">
      <w:pPr>
        <w:rPr>
          <w:b/>
          <w:bCs/>
        </w:rPr>
      </w:pPr>
    </w:p>
    <w:p w14:paraId="00000013" w14:textId="17252DA6" w:rsidR="008335C7" w:rsidRDefault="00345982">
      <w:pPr>
        <w:rPr>
          <w:b/>
          <w:bCs/>
        </w:rPr>
      </w:pPr>
      <w:r>
        <w:rPr>
          <w:b/>
          <w:bCs/>
        </w:rPr>
        <w:t>Sobre a GSK/ViiV Healthcare</w:t>
      </w:r>
    </w:p>
    <w:p w14:paraId="00000015" w14:textId="77777777" w:rsidR="008335C7" w:rsidRDefault="00345982">
      <w:r>
        <w:t xml:space="preserve">A ViiV Healthcare foi criada em 2009, a partir de uma joint venture entre a GSK e a Pfizer, formando uma companhia global dedicada exclusivamente a tratamentos para o HIV. Em 2012, a japonesa </w:t>
      </w:r>
      <w:proofErr w:type="spellStart"/>
      <w:r>
        <w:t>Shionogi</w:t>
      </w:r>
      <w:proofErr w:type="spellEnd"/>
      <w:r>
        <w:t xml:space="preserve"> completou a sociedade. Atualmente, a GSK detém 76,5% de participação na empresa. Como líder em pesquisa e desenvolvimento de tratamentos para o HIV, a ViiV Healthcare possui operações em mais de 50 países. A GSK é o distribuidor da ViiV Healthcare no Brasil.</w:t>
      </w:r>
    </w:p>
    <w:p w14:paraId="00000016" w14:textId="77777777" w:rsidR="008335C7" w:rsidRDefault="008335C7"/>
    <w:p w14:paraId="00000017" w14:textId="77777777" w:rsidR="008335C7" w:rsidRPr="008A61F6" w:rsidRDefault="00345982" w:rsidP="008A61F6">
      <w:pPr>
        <w:jc w:val="center"/>
      </w:pPr>
      <w:r w:rsidRPr="008A61F6">
        <w:t>Material dirigido ao público em geral. Por favor, consulte o seu médico</w:t>
      </w:r>
    </w:p>
    <w:p w14:paraId="00000019" w14:textId="5FDE5B98" w:rsidR="008335C7" w:rsidRDefault="008A61F6" w:rsidP="008A61F6">
      <w:pPr>
        <w:jc w:val="center"/>
      </w:pPr>
      <w:r w:rsidRPr="008A61F6">
        <w:t xml:space="preserve">NP-BR-HVU-PRSR-260005 – </w:t>
      </w:r>
      <w:proofErr w:type="gramStart"/>
      <w:r w:rsidRPr="008A61F6">
        <w:t>Março</w:t>
      </w:r>
      <w:proofErr w:type="gramEnd"/>
      <w:r w:rsidRPr="008A61F6">
        <w:t>/2026</w:t>
      </w:r>
    </w:p>
    <w:sectPr w:rsidR="008335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222C5C-286B-4601-8F6A-8FD55331D1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2E1069-7D3B-4A2C-85C5-2C299C799D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BB9954-47EF-4284-8303-9E30907613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5C7"/>
    <w:rsid w:val="00017AD0"/>
    <w:rsid w:val="0002057A"/>
    <w:rsid w:val="000429D7"/>
    <w:rsid w:val="00045B68"/>
    <w:rsid w:val="000513ED"/>
    <w:rsid w:val="00084A11"/>
    <w:rsid w:val="00110C93"/>
    <w:rsid w:val="001375CD"/>
    <w:rsid w:val="001945AA"/>
    <w:rsid w:val="001A3592"/>
    <w:rsid w:val="001A731E"/>
    <w:rsid w:val="001D0D45"/>
    <w:rsid w:val="00234134"/>
    <w:rsid w:val="0024756F"/>
    <w:rsid w:val="00264253"/>
    <w:rsid w:val="00266F9A"/>
    <w:rsid w:val="00271A63"/>
    <w:rsid w:val="00287C17"/>
    <w:rsid w:val="002B5505"/>
    <w:rsid w:val="002F0A50"/>
    <w:rsid w:val="00324D94"/>
    <w:rsid w:val="00345982"/>
    <w:rsid w:val="003B31F4"/>
    <w:rsid w:val="003D5861"/>
    <w:rsid w:val="004B01BB"/>
    <w:rsid w:val="004C3F1E"/>
    <w:rsid w:val="00516DAD"/>
    <w:rsid w:val="00581E36"/>
    <w:rsid w:val="005A3ACF"/>
    <w:rsid w:val="0062465C"/>
    <w:rsid w:val="0066101C"/>
    <w:rsid w:val="006D6053"/>
    <w:rsid w:val="0070039A"/>
    <w:rsid w:val="007952E5"/>
    <w:rsid w:val="0079534D"/>
    <w:rsid w:val="00797F4C"/>
    <w:rsid w:val="007E302B"/>
    <w:rsid w:val="00802A8C"/>
    <w:rsid w:val="008335C7"/>
    <w:rsid w:val="00852EF0"/>
    <w:rsid w:val="00890EDA"/>
    <w:rsid w:val="00891980"/>
    <w:rsid w:val="008A61F6"/>
    <w:rsid w:val="008A79C4"/>
    <w:rsid w:val="008D5FA9"/>
    <w:rsid w:val="0098201E"/>
    <w:rsid w:val="009918BA"/>
    <w:rsid w:val="009F2C91"/>
    <w:rsid w:val="00A33B9D"/>
    <w:rsid w:val="00A6656A"/>
    <w:rsid w:val="00AA0BB6"/>
    <w:rsid w:val="00AC5EA8"/>
    <w:rsid w:val="00B305DC"/>
    <w:rsid w:val="00B43772"/>
    <w:rsid w:val="00B51C46"/>
    <w:rsid w:val="00B561D8"/>
    <w:rsid w:val="00C10973"/>
    <w:rsid w:val="00C501B1"/>
    <w:rsid w:val="00CD7FA8"/>
    <w:rsid w:val="00D20D17"/>
    <w:rsid w:val="00DA73B2"/>
    <w:rsid w:val="00DB056E"/>
    <w:rsid w:val="00DC2957"/>
    <w:rsid w:val="00DF6AD2"/>
    <w:rsid w:val="00E22293"/>
    <w:rsid w:val="00E85F84"/>
    <w:rsid w:val="00EA0A9A"/>
    <w:rsid w:val="00EB4017"/>
    <w:rsid w:val="0231C08E"/>
    <w:rsid w:val="17425175"/>
    <w:rsid w:val="2F3AE5B3"/>
    <w:rsid w:val="3023D53D"/>
    <w:rsid w:val="3883568E"/>
    <w:rsid w:val="3DBC0940"/>
    <w:rsid w:val="44D8BCD1"/>
    <w:rsid w:val="5920DC24"/>
    <w:rsid w:val="5C8E20FF"/>
    <w:rsid w:val="5F0D6B77"/>
    <w:rsid w:val="6DA33EE6"/>
    <w:rsid w:val="7421599A"/>
    <w:rsid w:val="7474A928"/>
    <w:rsid w:val="7A492A25"/>
    <w:rsid w:val="7C662DA6"/>
    <w:rsid w:val="7E09C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7BEE"/>
  <w15:docId w15:val="{C28C7FBC-AE0D-409C-9081-22218207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7952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52E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52E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52E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52E5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sid w:val="007952E5"/>
    <w:rPr>
      <w:color w:val="2B579A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97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df3522f-8c42-44b0-bea3-7f162a60ea50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1043</Words>
  <Characters>6375</Characters>
  <Application>Microsoft Office Word</Application>
  <DocSecurity>0</DocSecurity>
  <Lines>106</Lines>
  <Paragraphs>30</Paragraphs>
  <ScaleCrop>false</ScaleCrop>
  <Company>GlaxoSmithKline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Assis</dc:creator>
  <cp:keywords/>
  <cp:lastModifiedBy>Jessica Assis</cp:lastModifiedBy>
  <cp:revision>14</cp:revision>
  <dcterms:created xsi:type="dcterms:W3CDTF">2026-03-24T14:28:00Z</dcterms:created>
  <dcterms:modified xsi:type="dcterms:W3CDTF">2026-03-27T15:03:00Z</dcterms:modified>
</cp:coreProperties>
</file>