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6"/>
          <w:szCs w:val="36"/>
        </w:rPr>
      </w:pPr>
      <w:bookmarkStart w:colFirst="0" w:colLast="0" w:name="_heading=h.i8rr90gf0baz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Pessoas 50+ com doenças crônicas estão mais expostas a complicações por Vírus Sincicial Respiratório (VSR) e Herpes Zoster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i w:val="1"/>
          <w:iCs w:val="1"/>
          <w:color w:val="000000"/>
          <w:sz w:val="24"/>
          <w:szCs w:val="24"/>
          <w:vertAlign w:val="superscript"/>
        </w:rPr>
      </w:pPr>
      <w:bookmarkStart w:colFirst="0" w:colLast="0" w:name="_heading=h.cl2jiqynjj97" w:id="1"/>
      <w:bookmarkEnd w:id="1"/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Condições como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Diabetes e Doença Pulmonar Obstrutiva Crônica (DPOC) aumentam a vulnerabilidade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agentes infecciosos, como o VSR, elevando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 chance de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internações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prolongadas e óbito. Portadores de DPOC têm até 13 vezes mais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risco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hospitalização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por VSR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,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e pessoas com diabetes, até 6,4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vezes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mais.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superscript"/>
          <w:rtl w:val="0"/>
        </w:rPr>
        <w:t xml:space="preserve">2,3,8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vertAlign w:val="superscript"/>
        </w:rPr>
      </w:pPr>
      <w:r w:rsidDel="00000000" w:rsidR="00000000" w:rsidRPr="00000000">
        <w:rPr>
          <w:rtl w:val="0"/>
        </w:rPr>
        <w:t xml:space="preserve">O sistema imunológico de adultos com 50 anos ou mais passa por um processo de enfraquecimento natural, chamado de imunossenescência, que diminui gradualmente a sua capacidade de se defender de agentes infecciosos.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Essa alteração associada a condições crônicas de saúde, como diabetes, Doença Pulmonar Obstrutiva Crônica (DPOC), asma, insuficiência cardíaca, e outras doenças cardiovasculares, pode levar a complicações mais frequentes por doenças infecciosas.</w:t>
      </w:r>
      <w:r w:rsidDel="00000000" w:rsidR="00000000" w:rsidRPr="00000000">
        <w:rPr>
          <w:vertAlign w:val="superscript"/>
          <w:rtl w:val="0"/>
        </w:rPr>
        <w:t xml:space="preserve">2,3</w:t>
      </w:r>
      <w:r w:rsidDel="00000000" w:rsidR="00000000" w:rsidRPr="00000000">
        <w:rPr>
          <w:rtl w:val="0"/>
        </w:rPr>
        <w:t xml:space="preserve"> Nesses casos, a combinação do envelhecimento com as comorbidades cria um cenário de alto risco para complicações sérias, como as causadas pelo Vírus Sincicial Respiratório (VSR) e pelo herpes zoster.</w:t>
      </w:r>
      <w:r w:rsidDel="00000000" w:rsidR="00000000" w:rsidRPr="00000000">
        <w:rPr>
          <w:vertAlign w:val="superscript"/>
          <w:rtl w:val="0"/>
        </w:rPr>
        <w:t xml:space="preserve"> 1-4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vertAlign w:val="superscript"/>
        </w:rPr>
      </w:pPr>
      <w:r w:rsidDel="00000000" w:rsidR="00000000" w:rsidRPr="00000000">
        <w:rPr>
          <w:rtl w:val="0"/>
        </w:rPr>
        <w:t xml:space="preserve">Com a proximidade do Dia Mundial do Diabetes (14 de novembro)</w:t>
      </w:r>
      <w:r w:rsidDel="00000000" w:rsidR="00000000" w:rsidRPr="00000000">
        <w:rPr>
          <w:vertAlign w:val="superscript"/>
          <w:rtl w:val="0"/>
        </w:rPr>
        <w:t xml:space="preserve">5</w:t>
      </w:r>
      <w:r w:rsidDel="00000000" w:rsidR="00000000" w:rsidRPr="00000000">
        <w:rPr>
          <w:rtl w:val="0"/>
        </w:rPr>
        <w:t xml:space="preserve"> e do Dia Mundial da DPOC (19 de novembro)</w:t>
      </w:r>
      <w:r w:rsidDel="00000000" w:rsidR="00000000" w:rsidRPr="00000000">
        <w:rPr>
          <w:vertAlign w:val="superscript"/>
          <w:rtl w:val="0"/>
        </w:rPr>
        <w:t xml:space="preserve">6</w:t>
      </w:r>
      <w:r w:rsidDel="00000000" w:rsidR="00000000" w:rsidRPr="00000000">
        <w:rPr>
          <w:rtl w:val="0"/>
        </w:rPr>
        <w:t xml:space="preserve">, especialistas reforçam a necessidade de conscientização e prevenção para esse público.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“A partir dos 50 anos, a capacidade de combater vírus e bactérias é reduzida, tornando os adultos mais vulneráveis a doenças graves. E quando se tem alguma doença crônica, esse risco pode ser ainda maior. O VSR pode ser um gatilho perigoso para o agravamento do quadro de saúde. A infecção pode descompensar doenças crônicas, mesmo que estejam controladas” </w:t>
      </w:r>
      <w:r w:rsidDel="00000000" w:rsidR="00000000" w:rsidRPr="00000000">
        <w:rPr>
          <w:vertAlign w:val="superscript"/>
          <w:rtl w:val="0"/>
        </w:rPr>
        <w:t xml:space="preserve">1,3,11</w:t>
      </w:r>
      <w:r w:rsidDel="00000000" w:rsidR="00000000" w:rsidRPr="00000000">
        <w:rPr>
          <w:rtl w:val="0"/>
        </w:rPr>
        <w:t xml:space="preserve">, explica a geriatra e clínica geral </w:t>
      </w:r>
      <w:r w:rsidDel="00000000" w:rsidR="00000000" w:rsidRPr="00000000">
        <w:rPr>
          <w:rtl w:val="0"/>
        </w:rPr>
        <w:t xml:space="preserve">Maisa Kairalla (</w:t>
      </w:r>
      <w:r w:rsidDel="00000000" w:rsidR="00000000" w:rsidRPr="00000000">
        <w:rPr>
          <w:highlight w:val="white"/>
          <w:rtl w:val="0"/>
        </w:rPr>
        <w:t xml:space="preserve">CRM 102136-SP</w:t>
      </w:r>
      <w:r w:rsidDel="00000000" w:rsidR="00000000" w:rsidRPr="00000000">
        <w:rPr>
          <w:rtl w:val="0"/>
        </w:rPr>
        <w:t xml:space="preserve">), médica do núcleo de Geriatria do Hospital Sírio Libanês, presidente da comissão de Imunização da SBGG (Sociedade Brasileira de Geriatria e Gerontologia), membro da Câmara técnica de Geriatria do CREMESP (Conselho Regional de Medicina do Estado de São Paulo) e  membro do ILC Brasil, ponto focal imunização.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vertAlign w:val="superscript"/>
        </w:rPr>
      </w:pPr>
      <w:r w:rsidDel="00000000" w:rsidR="00000000" w:rsidRPr="00000000">
        <w:rPr>
          <w:rtl w:val="0"/>
        </w:rPr>
        <w:t xml:space="preserve">No Brasil, uma análise de 10 anos (2013-2023) mostrou que idosos com comorbidades, infectados pelo VSR, tiveram altas taxas de admissão em UTI e letalidade. A taxa média de letalidade foi de 25,9%, variando de 21% em 2013 a 30,7% em 2017. Entre os casos, 71,5% apresentavam pelo menos uma condição crônica, sendo doenças cardiovasculares as mais comuns com 64,2%, seguido de diabetes com 32% e doenças pulmonares com 26,5%.</w:t>
      </w:r>
      <w:r w:rsidDel="00000000" w:rsidR="00000000" w:rsidRPr="00000000">
        <w:rPr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vertAlign w:val="superscript"/>
        </w:rPr>
      </w:pPr>
      <w:r w:rsidDel="00000000" w:rsidR="00000000" w:rsidRPr="00000000">
        <w:rPr>
          <w:rtl w:val="0"/>
        </w:rPr>
        <w:t xml:space="preserve">Outros estudos reforçam que o risco de hospitalização por VSR é drasticamente elevado em adultos mais velhos com comorbidades: portadores de DPOC com 65 anos ou mais têm até 13 vezes mais chances de internação por VSR.</w:t>
      </w:r>
      <w:r w:rsidDel="00000000" w:rsidR="00000000" w:rsidRPr="00000000">
        <w:rPr>
          <w:vertAlign w:val="superscript"/>
          <w:rtl w:val="0"/>
        </w:rPr>
        <w:t xml:space="preserve">8</w:t>
      </w:r>
      <w:r w:rsidDel="00000000" w:rsidR="00000000" w:rsidRPr="00000000">
        <w:rPr>
          <w:rtl w:val="0"/>
        </w:rPr>
        <w:t xml:space="preserve"> A DPOC afeta 210 milhões de pessoas no mundo e é a quinta causa de morte no Brasil.</w:t>
      </w:r>
      <w:r w:rsidDel="00000000" w:rsidR="00000000" w:rsidRPr="00000000">
        <w:rPr>
          <w:vertAlign w:val="superscript"/>
          <w:rtl w:val="0"/>
        </w:rPr>
        <w:t xml:space="preserve">6</w:t>
      </w:r>
      <w:r w:rsidDel="00000000" w:rsidR="00000000" w:rsidRPr="00000000">
        <w:rPr>
          <w:rtl w:val="0"/>
        </w:rPr>
        <w:t xml:space="preserve"> Já pessoas com 65 anos ou mais com diabetes (que atinge mais de 13 milhões de brasileiros segundo a </w:t>
      </w:r>
      <w:r w:rsidDel="00000000" w:rsidR="00000000" w:rsidRPr="00000000">
        <w:rPr>
          <w:rtl w:val="0"/>
        </w:rPr>
        <w:t xml:space="preserve">Sociedade Brasileira de Diabetes) têm até 6,4 vezes mais risco de hospitalização.</w:t>
      </w:r>
      <w:r w:rsidDel="00000000" w:rsidR="00000000" w:rsidRPr="00000000">
        <w:rPr>
          <w:vertAlign w:val="superscript"/>
          <w:rtl w:val="0"/>
        </w:rPr>
        <w:t xml:space="preserve">5,8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alerta se estende ao herpes zoster, popularmente conhecido como "cobreiro". esta doença é a reativação do mesmo vírus da catapora, o </w:t>
      </w:r>
      <w:r w:rsidDel="00000000" w:rsidR="00000000" w:rsidRPr="00000000">
        <w:rPr>
          <w:i w:val="1"/>
          <w:iCs w:val="1"/>
          <w:rtl w:val="0"/>
        </w:rPr>
        <w:t xml:space="preserve">varicela-zoster</w:t>
      </w:r>
      <w:r w:rsidDel="00000000" w:rsidR="00000000" w:rsidRPr="00000000">
        <w:rPr>
          <w:rtl w:val="0"/>
        </w:rPr>
        <w:t xml:space="preserve">, que permanece adormecido no sistema nervoso e pode reaparecer de forma imprevisível anos após a infecção inicial, principalmente em adultos mais velhos ou com comprometimento imunológico, como é o caso de quem vive com doenças crônicas.</w:t>
      </w:r>
      <w:r w:rsidDel="00000000" w:rsidR="00000000" w:rsidRPr="00000000">
        <w:rPr>
          <w:vertAlign w:val="superscript"/>
          <w:rtl w:val="0"/>
        </w:rPr>
        <w:t xml:space="preserve">4,9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vertAlign w:val="superscript"/>
        </w:rPr>
      </w:pPr>
      <w:r w:rsidDel="00000000" w:rsidR="00000000" w:rsidRPr="00000000">
        <w:rPr>
          <w:rtl w:val="0"/>
        </w:rPr>
        <w:t xml:space="preserve">A doença pode causar dor intensa e prolongada e impactar significativamente a qualidade de vida. Sua principal complicação é a neuralgia pós-herpética, uma dor crônica que pode persistir por mais de 90 dias após o desaparecimento das lesões e que pode durar anos.</w:t>
      </w:r>
      <w:r w:rsidDel="00000000" w:rsidR="00000000" w:rsidRPr="00000000">
        <w:rPr>
          <w:vertAlign w:val="superscript"/>
          <w:rtl w:val="0"/>
        </w:rPr>
        <w:t xml:space="preserve">4,9,10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"Adultos com doenças crônicas pulmonares, cardiovasculares e diabetes precisam ter uma visão ampla sobre sua imunidade. O envelhecimento natural e essas comorbidades enfraquecem as defesas do organismo, proporcionando a maior incidência de infecções respiratórias virais  graves inclusive pelo VSR, bem como a maior incidência de herpes zoster . Importante salientar que estas doenças  podem ser prevenidas por vacinação" </w:t>
      </w:r>
      <w:r w:rsidDel="00000000" w:rsidR="00000000" w:rsidRPr="00000000">
        <w:rPr>
          <w:vertAlign w:val="superscript"/>
          <w:rtl w:val="0"/>
        </w:rPr>
        <w:t xml:space="preserve">1-4</w:t>
      </w:r>
      <w:r w:rsidDel="00000000" w:rsidR="00000000" w:rsidRPr="00000000">
        <w:rPr>
          <w:rtl w:val="0"/>
        </w:rPr>
        <w:t xml:space="preserve">, conclui Kairalla.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Material dirigido ao público em geral. Por favor, consulte o seu médico.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NP-BR-AAP-PRSR-250001 - Novembro/2025</w:t>
      </w:r>
    </w:p>
    <w:p w:rsidR="00000000" w:rsidDel="00000000" w:rsidP="00000000" w:rsidRDefault="00000000" w:rsidRPr="00000000" w14:paraId="00000010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Sobre a GSK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A GSK é uma biofarmacêutica multinacional, presente em mais de 75 países, que tem como propósito unir ciência, tecnologia e talento para vencer as doenças e impactar a saúde global. A companhia pesquisa, desenvolve e fabrica vacinas e medicamentos especializados nas áreas de Doenças Infecciosas, HIV, Oncologia e Imunologia/Respiratória. No Brasil, a GSK é líder nas áreas de HIV e Respiratória e uma das empresas líderes em Vacinas. Para mais informações, visite </w:t>
      </w:r>
      <w:hyperlink r:id="rId7">
        <w:r w:rsidDel="00000000" w:rsidR="00000000" w:rsidRPr="00000000">
          <w:rPr>
            <w:u w:val="single"/>
            <w:rtl w:val="0"/>
          </w:rPr>
          <w:t xml:space="preserve">GSK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Referências:</w:t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SOCIEDADE BRASILEIRA DE GERIATRIA E GERONTOLOGIA. Geriatria: Guia de vacinação (2022/2023). Disponível em: &lt;https://sbim.org.br/images/guias/guia-geriatria-sbim-sbgg-4a-ed-2022-2023-220828b-web.pdf&gt;. Acesso em: outubro/2025;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SOCIEDADE BRASILEIRA DE IMUNIZAÇÕES. Vírus sincicial respiratório (VSR). Disponível em:  &lt;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https://familia.sbim.org.br/doencas/virus-sincicial-respiratorio-vsr</w:t>
        </w:r>
      </w:hyperlink>
      <w:r w:rsidDel="00000000" w:rsidR="00000000" w:rsidRPr="00000000">
        <w:rPr>
          <w:sz w:val="20"/>
          <w:szCs w:val="20"/>
          <w:rtl w:val="0"/>
        </w:rPr>
        <w:t xml:space="preserve">&gt;. Acesso em: outubro/2025;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CENTERS FOR DISEASE CONTROL AND PREVENTION. Respiratory Syncytial Virus Infection (RSV). RSV in Adults. Disponível em: &lt;https://www.cdc.gov/rsv/older-adults/?CDC_AAref_Val=https://www.cdc.gov/rsv/high-risk/older-adults.html&gt;. Acesso em: outubro/2025;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BRASIL. Ministério da Saúde. Herpes (Cobreiro). Disponível em: &lt;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https://www.gov.br/saude/pt-br/assuntos/saude-de-a-a-z/h/herpes-cobreiro</w:t>
        </w:r>
      </w:hyperlink>
      <w:r w:rsidDel="00000000" w:rsidR="00000000" w:rsidRPr="00000000">
        <w:rPr>
          <w:sz w:val="20"/>
          <w:szCs w:val="20"/>
          <w:rtl w:val="0"/>
        </w:rPr>
        <w:t xml:space="preserve">&gt; Acesso em: outubro/2025;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Ministério da Saúde. Biblioteca Virtual em Saúde. 14/11 Dia Mundial do Diabetes. Disponível em: &lt;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https://bvsms.saude.gov.br/14-11-dia-mundial-do-diabetes/</w:t>
        </w:r>
      </w:hyperlink>
      <w:r w:rsidDel="00000000" w:rsidR="00000000" w:rsidRPr="00000000">
        <w:rPr>
          <w:sz w:val="20"/>
          <w:szCs w:val="20"/>
          <w:rtl w:val="0"/>
        </w:rPr>
        <w:t xml:space="preserve">&gt;.  Acesso em: outubro/2025;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Ministério da Saúde. Biblioteca Virtual em Saúde. “Conheça sua função pulmonar” : 20/11 – Dia Mundial da Doença Pulmonar Obstrutiva Crônica – DPOC. Disponível em: &lt;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https://bvsms.saude.gov.br/conheca-sua-funcao-pulmonar-20-11-dia-mundial-da-doenca-pulmonar-obstrutiva-cronica-dpoc/</w:t>
        </w:r>
      </w:hyperlink>
      <w:r w:rsidDel="00000000" w:rsidR="00000000" w:rsidRPr="00000000">
        <w:rPr>
          <w:sz w:val="20"/>
          <w:szCs w:val="20"/>
          <w:rtl w:val="0"/>
        </w:rPr>
        <w:t xml:space="preserve">&gt;. Acesso em: outubro/2025;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VERAS, Bruna Medeiros Gonçalves de; MICHELIN, Lessandra; PINTO, Thatiana; GUZMAN-HOLST, Adriana;  PUNGARTNIK, Paula; BERRA, Thaís Zamboni; PIRES-MATHEUS, Gustavo; SILVA, Rosemeri Maurici da. *Respiratory  syncytial virus disease burden in older adults with and without comorbidities: a decade of hospitalization data in Brazil  (2013–2023);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BRANCHE AR, Saiman L, Walsh EE, et al. Incidence of respiratory syncytial virus infection among hospitalized adults, 2017–2020. ClinInfect Dis. 2022;74(6):1004-1011. doi:10.1093/cid/ciab595;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CENTERS FOR DISEASE CONTROL AND PREVENTION. Prevention of herpes zoster: recommendations of the Advisory Committee on Immunization Practices (ACIP). MMWR, v. 57, RR-5, p. 1-30, 2008;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LUKAS, K. et al. The impact of herpes zoster and post-herpetic neuralgia onquality of life: patient-reported outcomes in six European countries. J Public Health, 20:441-451, 2012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DOHERTY, T. M. et al. Vaccination programs for older adults in an era of demographic change. European Geriatric Medicine, v. 9, n. 3, p. 289–300, 19 mar. 2018.</w:t>
      </w: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513"/>
        <w:tab w:val="right" w:leader="none" w:pos="9026"/>
        <w:tab w:val="right" w:leader="none" w:pos="10206"/>
      </w:tabs>
      <w:spacing w:line="240" w:lineRule="auto"/>
      <w:rPr>
        <w:rFonts w:ascii="Times New Roman" w:cs="Times New Roman" w:eastAsia="Times New Roman" w:hAnsi="Times New Roman"/>
        <w:sz w:val="15"/>
        <w:szCs w:val="15"/>
      </w:rPr>
    </w:pPr>
    <w:r w:rsidDel="00000000" w:rsidR="00000000" w:rsidRPr="00000000">
      <w:rPr>
        <w:rFonts w:ascii="Times New Roman" w:cs="Times New Roman" w:eastAsia="Times New Roman" w:hAnsi="Times New Roman"/>
        <w:sz w:val="15"/>
        <w:szCs w:val="15"/>
      </w:rPr>
      <w:drawing>
        <wp:inline distB="0" distT="0" distL="0" distR="0">
          <wp:extent cx="1080000" cy="3564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294" l="5709" r="0" t="13018"/>
                  <a:stretch>
                    <a:fillRect/>
                  </a:stretch>
                </pic:blipFill>
                <pic:spPr>
                  <a:xfrm>
                    <a:off x="0" y="0"/>
                    <a:ext cx="1080000" cy="356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center" w:leader="none" w:pos="4513"/>
        <w:tab w:val="right" w:leader="none" w:pos="9026"/>
        <w:tab w:val="right" w:leader="none" w:pos="10206"/>
      </w:tabs>
      <w:spacing w:line="240" w:lineRule="auto"/>
      <w:rPr>
        <w:rFonts w:ascii="Times New Roman" w:cs="Times New Roman" w:eastAsia="Times New Roman" w:hAnsi="Times New Roman"/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center" w:leader="none" w:pos="4513"/>
        <w:tab w:val="right" w:leader="none" w:pos="9026"/>
        <w:tab w:val="right" w:leader="none" w:pos="10206"/>
      </w:tabs>
      <w:spacing w:line="240" w:lineRule="auto"/>
      <w:rPr>
        <w:rFonts w:ascii="Times New Roman" w:cs="Times New Roman" w:eastAsia="Times New Roman" w:hAnsi="Times New Roman"/>
        <w:sz w:val="15"/>
        <w:szCs w:val="15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o">
    <w:name w:val="Revision"/>
    <w:hidden w:val="1"/>
    <w:uiPriority w:val="99"/>
    <w:semiHidden w:val="1"/>
    <w:rsid w:val="005937A5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8560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85601E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5601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5601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5601E"/>
    <w:rPr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rsid w:val="00EF456B"/>
    <w:rPr>
      <w:rFonts w:ascii="Times New Roman" w:cs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 w:val="1"/>
    <w:unhideWhenUsed w:val="1"/>
    <w:rsid w:val="00EF456B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bvsms.saude.gov.br/conheca-sua-funcao-pulmonar-20-11-dia-mundial-da-doenca-pulmonar-obstrutiva-cronica-dpoc/" TargetMode="External"/><Relationship Id="rId10" Type="http://schemas.openxmlformats.org/officeDocument/2006/relationships/hyperlink" Target="https://bvsms.saude.gov.br/14-11-dia-mundial-do-diabetes/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gov.br/saude/pt-br/assuntos/saude-de-a-a-z/h/herpes-cobreir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sk.com.br" TargetMode="External"/><Relationship Id="rId8" Type="http://schemas.openxmlformats.org/officeDocument/2006/relationships/hyperlink" Target="https://familia.sbim.org.br/doencas/virus-sincicial-respiratorio-vs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aLDv+vUo9ZEMsy2h7S0EY+hEzQ==">CgMxLjAyDmguaThycjkwZ2YwYmF6Mg5oLmNsMmppcXluamo5NzgAciExcjlrUWMxTWxxdm5FZGpjZ2pRUFVaQldVMjBRWThHUUE=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2025-11-12T11:25:00Z</dcterms:created>
  <dc:creator>Lessandra Michelin</dc:creator>
</cp:coreProperties>
</file>